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2D42" w14:textId="659D69DB" w:rsidR="00D353D3" w:rsidRPr="006617D2" w:rsidRDefault="00AA7891" w:rsidP="00622A08">
      <w:pPr>
        <w:rPr>
          <w:b/>
          <w:bCs/>
          <w:lang w:val="en-AU"/>
        </w:rPr>
      </w:pPr>
      <w:r w:rsidRPr="006617D2">
        <w:rPr>
          <w:b/>
          <w:bCs/>
          <w:highlight w:val="yellow"/>
          <w:lang w:val="en-AU"/>
        </w:rPr>
        <w:t xml:space="preserve">MONITORING </w:t>
      </w:r>
      <w:r w:rsidR="006617D2" w:rsidRPr="006617D2">
        <w:rPr>
          <w:b/>
          <w:bCs/>
          <w:highlight w:val="yellow"/>
          <w:lang w:val="en-AU"/>
        </w:rPr>
        <w:t>WARFARIN</w:t>
      </w:r>
      <w:r w:rsidR="006617D2" w:rsidRPr="006617D2">
        <w:rPr>
          <w:b/>
          <w:bCs/>
          <w:lang w:val="en-AU"/>
        </w:rPr>
        <w:t xml:space="preserve"> </w:t>
      </w:r>
    </w:p>
    <w:p w14:paraId="2B4A45EE" w14:textId="0467A5CB" w:rsidR="00AA7891" w:rsidRPr="006617D2" w:rsidRDefault="00D353D3" w:rsidP="00622A08">
      <w:pPr>
        <w:rPr>
          <w:sz w:val="16"/>
          <w:szCs w:val="16"/>
          <w:lang w:val="en-AU"/>
        </w:rPr>
      </w:pPr>
      <w:r w:rsidRPr="006617D2">
        <w:rPr>
          <w:rFonts w:ascii="Roboto" w:eastAsia="Times New Roman" w:hAnsi="Roboto"/>
          <w:color w:val="000000"/>
          <w:sz w:val="16"/>
          <w:szCs w:val="16"/>
          <w:highlight w:val="yellow"/>
        </w:rPr>
        <w:t xml:space="preserve">Community HealthPathways Auckland Region | Te rohe o Tāmaki </w:t>
      </w:r>
      <w:proofErr w:type="spellStart"/>
      <w:r w:rsidRPr="006617D2">
        <w:rPr>
          <w:rFonts w:ascii="Roboto" w:eastAsia="Times New Roman" w:hAnsi="Roboto"/>
          <w:color w:val="000000"/>
          <w:sz w:val="16"/>
          <w:szCs w:val="16"/>
          <w:highlight w:val="yellow"/>
        </w:rPr>
        <w:t>Makaurau</w:t>
      </w:r>
      <w:proofErr w:type="spellEnd"/>
      <w:r w:rsidR="00EA66F8" w:rsidRPr="006617D2">
        <w:rPr>
          <w:rFonts w:ascii="Roboto" w:eastAsia="Times New Roman" w:hAnsi="Roboto"/>
          <w:color w:val="000000"/>
          <w:sz w:val="16"/>
          <w:szCs w:val="16"/>
          <w:highlight w:val="yellow"/>
        </w:rPr>
        <w:t xml:space="preserve"> – accessed 5</w:t>
      </w:r>
      <w:r w:rsidR="00EA66F8" w:rsidRPr="006617D2">
        <w:rPr>
          <w:rFonts w:ascii="Roboto" w:eastAsia="Times New Roman" w:hAnsi="Roboto"/>
          <w:color w:val="000000"/>
          <w:sz w:val="16"/>
          <w:szCs w:val="16"/>
          <w:highlight w:val="yellow"/>
          <w:vertAlign w:val="superscript"/>
        </w:rPr>
        <w:t>th</w:t>
      </w:r>
      <w:r w:rsidR="00EA66F8" w:rsidRPr="006617D2">
        <w:rPr>
          <w:rFonts w:ascii="Roboto" w:eastAsia="Times New Roman" w:hAnsi="Roboto"/>
          <w:color w:val="000000"/>
          <w:sz w:val="16"/>
          <w:szCs w:val="16"/>
          <w:highlight w:val="yellow"/>
        </w:rPr>
        <w:t xml:space="preserve"> March 2023</w:t>
      </w:r>
    </w:p>
    <w:p w14:paraId="0506C894" w14:textId="70497648" w:rsidR="00AA7891" w:rsidRDefault="00AA7891">
      <w:pPr>
        <w:rPr>
          <w:lang w:val="en-AU"/>
        </w:rPr>
      </w:pPr>
    </w:p>
    <w:p w14:paraId="4D4BA1EA" w14:textId="7340E193" w:rsidR="00AA7891" w:rsidRDefault="009F1986">
      <w:pPr>
        <w:rPr>
          <w:lang w:val="en-AU"/>
        </w:rPr>
      </w:pPr>
      <w:r w:rsidRPr="007E2DE2">
        <w:rPr>
          <w:color w:val="FF0000"/>
          <w:lang w:val="en-AU"/>
        </w:rPr>
        <w:t>1</w:t>
      </w:r>
    </w:p>
    <w:p w14:paraId="3E86F662" w14:textId="5AA6DDD9" w:rsidR="00AA7891" w:rsidRDefault="00AA7891">
      <w:pPr>
        <w:rPr>
          <w:lang w:val="en-AU"/>
        </w:rPr>
      </w:pPr>
    </w:p>
    <w:p w14:paraId="05D1A6FB" w14:textId="77777777" w:rsidR="009F1986" w:rsidRPr="009F1986" w:rsidRDefault="009F1986" w:rsidP="009F1986">
      <w:pPr>
        <w:divId w:val="186992962"/>
        <w:rPr>
          <w:rFonts w:ascii="Times New Roman" w:eastAsia="Times New Roman" w:hAnsi="Times New Roman" w:cs="Times New Roman"/>
          <w:sz w:val="24"/>
          <w:szCs w:val="24"/>
        </w:rPr>
      </w:pPr>
      <w:r w:rsidRPr="009F1986">
        <w:rPr>
          <w:rFonts w:ascii="Roboto" w:eastAsia="Times New Roman" w:hAnsi="Roboto" w:cs="Times New Roman"/>
          <w:color w:val="212121"/>
          <w:sz w:val="23"/>
          <w:szCs w:val="23"/>
          <w:shd w:val="clear" w:color="auto" w:fill="EEEEEE"/>
        </w:rPr>
        <w:t>Arrange </w:t>
      </w:r>
      <w:r w:rsidRPr="009F19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B84C34" wp14:editId="365039E9">
            <wp:extent cx="304800" cy="116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2497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986">
        <w:rPr>
          <w:rFonts w:ascii="Times New Roman" w:eastAsia="Times New Roman" w:hAnsi="Times New Roman" w:cs="Times New Roman"/>
          <w:sz w:val="24"/>
          <w:szCs w:val="24"/>
        </w:rPr>
        <w:t>ongoing monitoring</w:t>
      </w:r>
      <w:r w:rsidRPr="009F1986">
        <w:rPr>
          <w:rFonts w:ascii="Roboto" w:eastAsia="Times New Roman" w:hAnsi="Roboto" w:cs="Times New Roman"/>
          <w:color w:val="212121"/>
          <w:sz w:val="23"/>
          <w:szCs w:val="23"/>
          <w:shd w:val="clear" w:color="auto" w:fill="EEEEEE"/>
        </w:rPr>
        <w:t>.</w:t>
      </w:r>
    </w:p>
    <w:p w14:paraId="56FFAEFE" w14:textId="77777777" w:rsidR="009F1986" w:rsidRPr="009F1986" w:rsidRDefault="009F1986" w:rsidP="009F1986">
      <w:pPr>
        <w:shd w:val="clear" w:color="auto" w:fill="EEEEEE"/>
        <w:spacing w:after="255"/>
        <w:divId w:val="355926753"/>
        <w:rPr>
          <w:rFonts w:ascii="Roboto" w:hAnsi="Roboto" w:cs="Times New Roman"/>
          <w:b/>
          <w:bCs/>
          <w:color w:val="212121"/>
          <w:sz w:val="23"/>
          <w:szCs w:val="23"/>
        </w:rPr>
      </w:pPr>
      <w:r w:rsidRPr="009F1986">
        <w:rPr>
          <w:rFonts w:ascii="Roboto" w:hAnsi="Roboto" w:cs="Times New Roman"/>
          <w:b/>
          <w:bCs/>
          <w:color w:val="212121"/>
          <w:sz w:val="23"/>
          <w:szCs w:val="23"/>
        </w:rPr>
        <w:t>Ongoing monitoring</w:t>
      </w:r>
    </w:p>
    <w:p w14:paraId="29E92EE0" w14:textId="77777777" w:rsidR="009F1986" w:rsidRPr="009F1986" w:rsidRDefault="009F1986" w:rsidP="009F1986">
      <w:pPr>
        <w:shd w:val="clear" w:color="auto" w:fill="EEEEEE"/>
        <w:spacing w:after="255"/>
        <w:divId w:val="355926753"/>
        <w:rPr>
          <w:rFonts w:ascii="Roboto" w:hAnsi="Roboto" w:cs="Times New Roman"/>
          <w:color w:val="212121"/>
          <w:sz w:val="23"/>
          <w:szCs w:val="23"/>
        </w:rPr>
      </w:pPr>
      <w:r w:rsidRPr="009F1986">
        <w:rPr>
          <w:rFonts w:ascii="Roboto" w:hAnsi="Roboto" w:cs="Times New Roman"/>
          <w:color w:val="212121"/>
          <w:sz w:val="23"/>
          <w:szCs w:val="23"/>
        </w:rPr>
        <w:t>Monitor every 2 to 3 days until INR therapeutic and stable on 2 consecutive tests, then:</w:t>
      </w:r>
    </w:p>
    <w:p w14:paraId="71B810BA" w14:textId="77777777" w:rsidR="009F1986" w:rsidRPr="009F1986" w:rsidRDefault="009F1986" w:rsidP="009F1986">
      <w:pPr>
        <w:numPr>
          <w:ilvl w:val="0"/>
          <w:numId w:val="2"/>
        </w:numPr>
        <w:shd w:val="clear" w:color="auto" w:fill="EEEEEE"/>
        <w:spacing w:after="180"/>
        <w:ind w:left="1020"/>
        <w:divId w:val="355926753"/>
        <w:rPr>
          <w:rFonts w:ascii="Roboto" w:eastAsia="Times New Roman" w:hAnsi="Roboto" w:cs="Times New Roman"/>
          <w:color w:val="212121"/>
          <w:sz w:val="23"/>
          <w:szCs w:val="23"/>
        </w:rPr>
      </w:pPr>
      <w:r w:rsidRPr="009F1986">
        <w:rPr>
          <w:rFonts w:ascii="Roboto" w:eastAsia="Times New Roman" w:hAnsi="Roboto" w:cs="Times New Roman"/>
          <w:color w:val="212121"/>
          <w:sz w:val="23"/>
          <w:szCs w:val="23"/>
        </w:rPr>
        <w:t>every week until INR therapeutic and stable on 2 consecutive tests, then </w:t>
      </w:r>
    </w:p>
    <w:p w14:paraId="3D66A91B" w14:textId="77777777" w:rsidR="009F1986" w:rsidRPr="009F1986" w:rsidRDefault="009F1986" w:rsidP="009F1986">
      <w:pPr>
        <w:numPr>
          <w:ilvl w:val="0"/>
          <w:numId w:val="2"/>
        </w:numPr>
        <w:shd w:val="clear" w:color="auto" w:fill="EEEEEE"/>
        <w:spacing w:after="180"/>
        <w:ind w:left="1020"/>
        <w:divId w:val="355926753"/>
        <w:rPr>
          <w:rFonts w:ascii="Roboto" w:eastAsia="Times New Roman" w:hAnsi="Roboto" w:cs="Times New Roman"/>
          <w:color w:val="212121"/>
          <w:sz w:val="23"/>
          <w:szCs w:val="23"/>
        </w:rPr>
      </w:pPr>
      <w:r w:rsidRPr="009F1986">
        <w:rPr>
          <w:rFonts w:ascii="Roboto" w:eastAsia="Times New Roman" w:hAnsi="Roboto" w:cs="Times New Roman"/>
          <w:color w:val="212121"/>
          <w:sz w:val="23"/>
          <w:szCs w:val="23"/>
        </w:rPr>
        <w:t>every two weeks until INR therapeutic and stable on 2 consecutive tests, then</w:t>
      </w:r>
    </w:p>
    <w:p w14:paraId="26723C43" w14:textId="77777777" w:rsidR="009F1986" w:rsidRPr="009F1986" w:rsidRDefault="009F1986" w:rsidP="009F1986">
      <w:pPr>
        <w:numPr>
          <w:ilvl w:val="0"/>
          <w:numId w:val="2"/>
        </w:numPr>
        <w:shd w:val="clear" w:color="auto" w:fill="EEEEEE"/>
        <w:spacing w:after="180"/>
        <w:ind w:left="1020"/>
        <w:divId w:val="355926753"/>
        <w:rPr>
          <w:rFonts w:ascii="Roboto" w:eastAsia="Times New Roman" w:hAnsi="Roboto" w:cs="Times New Roman"/>
          <w:color w:val="212121"/>
          <w:sz w:val="23"/>
          <w:szCs w:val="23"/>
        </w:rPr>
      </w:pPr>
      <w:r w:rsidRPr="009F1986">
        <w:rPr>
          <w:rFonts w:ascii="Roboto" w:eastAsia="Times New Roman" w:hAnsi="Roboto" w:cs="Times New Roman"/>
          <w:color w:val="212121"/>
          <w:sz w:val="23"/>
          <w:szCs w:val="23"/>
        </w:rPr>
        <w:t>as required, every month as long as INR remains stable.</w:t>
      </w:r>
    </w:p>
    <w:p w14:paraId="077EACD0" w14:textId="77777777" w:rsidR="009F1986" w:rsidRPr="009F1986" w:rsidRDefault="009F1986" w:rsidP="009F1986">
      <w:pPr>
        <w:shd w:val="clear" w:color="auto" w:fill="EEEEEE"/>
        <w:spacing w:after="255"/>
        <w:divId w:val="355926753"/>
        <w:rPr>
          <w:rFonts w:ascii="Roboto" w:hAnsi="Roboto" w:cs="Times New Roman"/>
          <w:color w:val="212121"/>
          <w:sz w:val="23"/>
          <w:szCs w:val="23"/>
        </w:rPr>
      </w:pPr>
      <w:r w:rsidRPr="009F1986">
        <w:rPr>
          <w:rFonts w:ascii="Roboto" w:hAnsi="Roboto" w:cs="Times New Roman"/>
          <w:color w:val="212121"/>
          <w:sz w:val="23"/>
          <w:szCs w:val="23"/>
        </w:rPr>
        <w:t>Keep INR within the </w:t>
      </w:r>
      <w:r w:rsidRPr="009F1986">
        <w:rPr>
          <w:rFonts w:ascii="Roboto" w:hAnsi="Roboto" w:cs="Times New Roman"/>
          <w:noProof/>
          <w:color w:val="212121"/>
          <w:sz w:val="23"/>
          <w:szCs w:val="23"/>
        </w:rPr>
        <w:drawing>
          <wp:inline distT="0" distB="0" distL="0" distR="0" wp14:anchorId="3ECA8360" wp14:editId="7A1ECAA5">
            <wp:extent cx="304800" cy="116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286349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986">
        <w:rPr>
          <w:rFonts w:ascii="Roboto" w:hAnsi="Roboto" w:cs="Times New Roman"/>
          <w:color w:val="212121"/>
          <w:sz w:val="23"/>
          <w:szCs w:val="23"/>
        </w:rPr>
        <w:t>target range.</w:t>
      </w:r>
    </w:p>
    <w:p w14:paraId="52519A63" w14:textId="77777777" w:rsidR="00A426D2" w:rsidRDefault="00A426D2">
      <w:pPr>
        <w:pStyle w:val="bodytextbold"/>
        <w:shd w:val="clear" w:color="auto" w:fill="EEEEEE"/>
        <w:spacing w:before="0" w:beforeAutospacing="0" w:after="255" w:afterAutospacing="0"/>
        <w:divId w:val="247614967"/>
        <w:rPr>
          <w:rFonts w:ascii="Roboto" w:hAnsi="Roboto"/>
          <w:b/>
          <w:bCs/>
          <w:color w:val="212121"/>
          <w:sz w:val="23"/>
          <w:szCs w:val="23"/>
        </w:rPr>
      </w:pPr>
      <w:r>
        <w:rPr>
          <w:rFonts w:ascii="Roboto" w:hAnsi="Roboto"/>
          <w:b/>
          <w:bCs/>
          <w:color w:val="212121"/>
          <w:sz w:val="23"/>
          <w:szCs w:val="23"/>
        </w:rPr>
        <w:t>Target INR</w:t>
      </w:r>
      <w:r>
        <w:rPr>
          <w:rStyle w:val="apple-converted-space"/>
          <w:rFonts w:ascii="Roboto" w:hAnsi="Roboto"/>
          <w:b/>
          <w:bCs/>
          <w:color w:val="212121"/>
          <w:sz w:val="23"/>
          <w:szCs w:val="23"/>
        </w:rPr>
        <w:t> </w:t>
      </w:r>
    </w:p>
    <w:p w14:paraId="1F9CB596" w14:textId="77777777" w:rsidR="00A426D2" w:rsidRDefault="00A426D2">
      <w:pPr>
        <w:pStyle w:val="bodytext"/>
        <w:shd w:val="clear" w:color="auto" w:fill="EEEEEE"/>
        <w:spacing w:before="0" w:beforeAutospacing="0" w:after="255" w:afterAutospacing="0"/>
        <w:divId w:val="247614967"/>
        <w:rPr>
          <w:rFonts w:ascii="Roboto" w:hAnsi="Roboto"/>
          <w:color w:val="212121"/>
          <w:sz w:val="23"/>
          <w:szCs w:val="23"/>
        </w:rPr>
      </w:pPr>
      <w:r>
        <w:rPr>
          <w:rFonts w:ascii="Roboto" w:hAnsi="Roboto"/>
          <w:color w:val="212121"/>
          <w:sz w:val="23"/>
          <w:szCs w:val="23"/>
        </w:rPr>
        <w:t>Use the table as a guide to individualise treatment. Target INR is tailored to individual circumstances. Seek relevant specialist advice if any uncertainty.</w:t>
      </w:r>
      <w:r>
        <w:rPr>
          <w:rStyle w:val="apple-converted-space"/>
          <w:rFonts w:ascii="Roboto" w:hAnsi="Roboto"/>
          <w:color w:val="212121"/>
          <w:sz w:val="23"/>
          <w:szCs w:val="23"/>
        </w:rPr>
        <w:t> </w:t>
      </w:r>
    </w:p>
    <w:p w14:paraId="59EF0B5D" w14:textId="77777777" w:rsidR="00A426D2" w:rsidRDefault="00A426D2">
      <w:pPr>
        <w:pStyle w:val="bodytext"/>
        <w:shd w:val="clear" w:color="auto" w:fill="EEEEEE"/>
        <w:spacing w:before="0" w:beforeAutospacing="0" w:after="255" w:afterAutospacing="0"/>
        <w:divId w:val="247614967"/>
        <w:rPr>
          <w:rFonts w:ascii="Roboto" w:hAnsi="Roboto"/>
          <w:color w:val="212121"/>
          <w:sz w:val="23"/>
          <w:szCs w:val="23"/>
        </w:rPr>
      </w:pPr>
      <w:r>
        <w:rPr>
          <w:rFonts w:ascii="Roboto" w:hAnsi="Roboto"/>
          <w:color w:val="212121"/>
          <w:sz w:val="23"/>
          <w:szCs w:val="23"/>
        </w:rPr>
        <w:t>Review the benefits of anticoagulation against the risks of bleeding at least annually.</w:t>
      </w:r>
    </w:p>
    <w:tbl>
      <w:tblPr>
        <w:tblW w:w="5000" w:type="pct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932"/>
        <w:gridCol w:w="4078"/>
      </w:tblGrid>
      <w:tr w:rsidR="0097675A" w:rsidRPr="0097675A" w14:paraId="7989BC72" w14:textId="77777777">
        <w:trPr>
          <w:divId w:val="481771851"/>
        </w:trPr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5F5F5"/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15EC8C26" w14:textId="77777777" w:rsidR="0097675A" w:rsidRPr="0097675A" w:rsidRDefault="0097675A" w:rsidP="0097675A">
            <w:pPr>
              <w:spacing w:before="120" w:after="180"/>
              <w:jc w:val="center"/>
              <w:rPr>
                <w:rFonts w:ascii="Roboto" w:hAnsi="Roboto" w:cs="Times New Roman"/>
                <w:color w:val="3F3F3F"/>
                <w:sz w:val="24"/>
                <w:szCs w:val="24"/>
              </w:rPr>
            </w:pPr>
            <w:r w:rsidRPr="0097675A">
              <w:rPr>
                <w:rFonts w:ascii="Roboto" w:hAnsi="Roboto" w:cs="Times New Roman"/>
                <w:color w:val="3F3F3F"/>
                <w:sz w:val="24"/>
                <w:szCs w:val="24"/>
              </w:rPr>
              <w:t>Indication</w:t>
            </w:r>
          </w:p>
        </w:tc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5F5F5"/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2EC93F2F" w14:textId="77777777" w:rsidR="0097675A" w:rsidRPr="0097675A" w:rsidRDefault="0097675A" w:rsidP="0097675A">
            <w:pPr>
              <w:spacing w:before="120" w:after="180"/>
              <w:jc w:val="center"/>
              <w:rPr>
                <w:rFonts w:ascii="Roboto" w:hAnsi="Roboto" w:cs="Times New Roman"/>
                <w:color w:val="3F3F3F"/>
                <w:sz w:val="24"/>
                <w:szCs w:val="24"/>
              </w:rPr>
            </w:pPr>
            <w:r w:rsidRPr="0097675A">
              <w:rPr>
                <w:rFonts w:ascii="Roboto" w:hAnsi="Roboto" w:cs="Times New Roman"/>
                <w:color w:val="3F3F3F"/>
                <w:sz w:val="24"/>
                <w:szCs w:val="24"/>
              </w:rPr>
              <w:t>Recommended target prothrombin ratio (INR) for warfarin treatment</w:t>
            </w:r>
          </w:p>
        </w:tc>
      </w:tr>
      <w:tr w:rsidR="0097675A" w:rsidRPr="0097675A" w14:paraId="1F51E405" w14:textId="77777777">
        <w:trPr>
          <w:divId w:val="481771851"/>
        </w:trPr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340F6178" w14:textId="77777777" w:rsidR="0097675A" w:rsidRPr="0097675A" w:rsidRDefault="0097675A" w:rsidP="0097675A">
            <w:pPr>
              <w:spacing w:before="120" w:after="180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7675A">
              <w:rPr>
                <w:rFonts w:ascii="Roboto" w:hAnsi="Roboto" w:cs="Times New Roman"/>
                <w:color w:val="212121"/>
                <w:sz w:val="23"/>
                <w:szCs w:val="23"/>
              </w:rPr>
              <w:t>Pre- and </w:t>
            </w:r>
            <w:proofErr w:type="spellStart"/>
            <w:r w:rsidRPr="0097675A">
              <w:rPr>
                <w:rFonts w:ascii="Roboto" w:hAnsi="Roboto" w:cs="Times New Roman"/>
                <w:color w:val="212121"/>
                <w:sz w:val="23"/>
                <w:szCs w:val="23"/>
              </w:rPr>
              <w:t>perioperative</w:t>
            </w:r>
            <w:proofErr w:type="spellEnd"/>
            <w:r w:rsidRPr="0097675A">
              <w:rPr>
                <w:rFonts w:ascii="Roboto" w:hAnsi="Roboto" w:cs="Times New Roman"/>
                <w:color w:val="212121"/>
                <w:sz w:val="23"/>
                <w:szCs w:val="23"/>
              </w:rPr>
              <w:t xml:space="preserve"> anticoagulation</w:t>
            </w:r>
          </w:p>
        </w:tc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4D1AFC67" w14:textId="77777777" w:rsidR="0097675A" w:rsidRPr="0097675A" w:rsidRDefault="0097675A" w:rsidP="0097675A">
            <w:pPr>
              <w:spacing w:before="120" w:after="180"/>
              <w:jc w:val="center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7675A">
              <w:rPr>
                <w:rFonts w:ascii="Roboto" w:hAnsi="Roboto" w:cs="Times New Roman"/>
                <w:color w:val="212121"/>
                <w:sz w:val="23"/>
                <w:szCs w:val="23"/>
              </w:rPr>
              <w:t>1.5 to 2.0</w:t>
            </w:r>
          </w:p>
        </w:tc>
      </w:tr>
      <w:tr w:rsidR="0097675A" w:rsidRPr="0097675A" w14:paraId="52585A1E" w14:textId="77777777">
        <w:trPr>
          <w:divId w:val="481771851"/>
        </w:trPr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23A55D2C" w14:textId="77777777" w:rsidR="0097675A" w:rsidRPr="0097675A" w:rsidRDefault="0097675A" w:rsidP="0097675A">
            <w:pPr>
              <w:spacing w:before="120" w:after="180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7675A">
              <w:rPr>
                <w:rFonts w:ascii="Roboto" w:hAnsi="Roboto" w:cs="Times New Roman"/>
                <w:color w:val="212121"/>
                <w:sz w:val="23"/>
                <w:szCs w:val="23"/>
              </w:rPr>
              <w:t>Treatment of VTE:</w:t>
            </w:r>
          </w:p>
          <w:p w14:paraId="19F43428" w14:textId="77777777" w:rsidR="0097675A" w:rsidRPr="0097675A" w:rsidRDefault="0097675A" w:rsidP="0097675A">
            <w:pPr>
              <w:numPr>
                <w:ilvl w:val="0"/>
                <w:numId w:val="3"/>
              </w:numPr>
              <w:spacing w:after="180"/>
              <w:rPr>
                <w:rFonts w:ascii="Roboto" w:eastAsia="Times New Roman" w:hAnsi="Roboto" w:cs="Times New Roman"/>
                <w:color w:val="212121"/>
                <w:sz w:val="23"/>
                <w:szCs w:val="23"/>
              </w:rPr>
            </w:pPr>
            <w:r w:rsidRPr="0097675A">
              <w:rPr>
                <w:rFonts w:ascii="Roboto" w:eastAsia="Times New Roman" w:hAnsi="Roboto" w:cs="Times New Roman"/>
                <w:color w:val="212121"/>
                <w:sz w:val="23"/>
                <w:szCs w:val="23"/>
              </w:rPr>
              <w:t>Distal DVT</w:t>
            </w:r>
          </w:p>
          <w:p w14:paraId="4881ADD6" w14:textId="77777777" w:rsidR="0097675A" w:rsidRPr="0097675A" w:rsidRDefault="0097675A" w:rsidP="0097675A">
            <w:pPr>
              <w:numPr>
                <w:ilvl w:val="0"/>
                <w:numId w:val="3"/>
              </w:numPr>
              <w:spacing w:after="180"/>
              <w:rPr>
                <w:rFonts w:ascii="Roboto" w:eastAsia="Times New Roman" w:hAnsi="Roboto" w:cs="Times New Roman"/>
                <w:color w:val="212121"/>
                <w:sz w:val="23"/>
                <w:szCs w:val="23"/>
              </w:rPr>
            </w:pPr>
            <w:r w:rsidRPr="0097675A">
              <w:rPr>
                <w:rFonts w:ascii="Roboto" w:eastAsia="Times New Roman" w:hAnsi="Roboto" w:cs="Times New Roman"/>
                <w:color w:val="212121"/>
                <w:sz w:val="23"/>
                <w:szCs w:val="23"/>
              </w:rPr>
              <w:t>Provoked or unprovoked DVT</w:t>
            </w:r>
          </w:p>
          <w:p w14:paraId="31F6B346" w14:textId="77777777" w:rsidR="0097675A" w:rsidRPr="0097675A" w:rsidRDefault="0097675A" w:rsidP="0097675A">
            <w:pPr>
              <w:numPr>
                <w:ilvl w:val="0"/>
                <w:numId w:val="3"/>
              </w:numPr>
              <w:spacing w:after="180"/>
              <w:rPr>
                <w:rFonts w:ascii="Roboto" w:eastAsia="Times New Roman" w:hAnsi="Roboto" w:cs="Times New Roman"/>
                <w:color w:val="212121"/>
                <w:sz w:val="23"/>
                <w:szCs w:val="23"/>
              </w:rPr>
            </w:pPr>
            <w:r w:rsidRPr="0097675A">
              <w:rPr>
                <w:rFonts w:ascii="Roboto" w:eastAsia="Times New Roman" w:hAnsi="Roboto" w:cs="Times New Roman"/>
                <w:color w:val="212121"/>
                <w:sz w:val="23"/>
                <w:szCs w:val="23"/>
              </w:rPr>
              <w:t>Massive DVT or pulmonary embolism</w:t>
            </w:r>
          </w:p>
        </w:tc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604857AC" w14:textId="77777777" w:rsidR="0097675A" w:rsidRPr="0097675A" w:rsidRDefault="0097675A" w:rsidP="0097675A">
            <w:pPr>
              <w:spacing w:before="120" w:after="180"/>
              <w:jc w:val="center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7675A">
              <w:rPr>
                <w:rFonts w:ascii="Roboto" w:hAnsi="Roboto" w:cs="Times New Roman"/>
                <w:color w:val="212121"/>
                <w:sz w:val="23"/>
                <w:szCs w:val="23"/>
              </w:rPr>
              <w:t>2.0 to 3.0</w:t>
            </w:r>
          </w:p>
        </w:tc>
      </w:tr>
      <w:tr w:rsidR="0097675A" w:rsidRPr="0097675A" w14:paraId="752CFF8E" w14:textId="77777777">
        <w:trPr>
          <w:divId w:val="481771851"/>
        </w:trPr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22861BAC" w14:textId="77777777" w:rsidR="0097675A" w:rsidRPr="0097675A" w:rsidRDefault="0097675A" w:rsidP="0097675A">
            <w:pPr>
              <w:spacing w:before="120" w:after="180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7675A">
              <w:rPr>
                <w:rFonts w:ascii="Roboto" w:hAnsi="Roboto" w:cs="Times New Roman"/>
                <w:color w:val="212121"/>
                <w:sz w:val="23"/>
                <w:szCs w:val="23"/>
              </w:rPr>
              <w:t>Treatment of recurrent DVT or pulmonary embolism, despite therapeutic INR</w:t>
            </w:r>
          </w:p>
        </w:tc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0DE0691C" w14:textId="77777777" w:rsidR="0097675A" w:rsidRPr="0097675A" w:rsidRDefault="0097675A" w:rsidP="0097675A">
            <w:pPr>
              <w:spacing w:before="120" w:after="180"/>
              <w:jc w:val="center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7675A">
              <w:rPr>
                <w:rFonts w:ascii="Roboto" w:hAnsi="Roboto" w:cs="Times New Roman"/>
                <w:color w:val="212121"/>
                <w:sz w:val="23"/>
                <w:szCs w:val="23"/>
              </w:rPr>
              <w:t>3.0 to 4.0</w:t>
            </w:r>
          </w:p>
        </w:tc>
      </w:tr>
      <w:tr w:rsidR="0097675A" w:rsidRPr="0097675A" w14:paraId="77198292" w14:textId="77777777">
        <w:trPr>
          <w:divId w:val="481771851"/>
        </w:trPr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5A54E71E" w14:textId="77777777" w:rsidR="0097675A" w:rsidRPr="0097675A" w:rsidRDefault="0097675A" w:rsidP="0097675A">
            <w:pPr>
              <w:spacing w:before="120" w:after="180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7675A">
              <w:rPr>
                <w:rFonts w:ascii="Roboto" w:hAnsi="Roboto" w:cs="Times New Roman"/>
                <w:color w:val="212121"/>
                <w:sz w:val="23"/>
                <w:szCs w:val="23"/>
              </w:rPr>
              <w:t>Atrial fibrillation</w:t>
            </w:r>
          </w:p>
        </w:tc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06333F8C" w14:textId="77777777" w:rsidR="0097675A" w:rsidRPr="0097675A" w:rsidRDefault="0097675A" w:rsidP="0097675A">
            <w:pPr>
              <w:spacing w:before="120" w:after="180"/>
              <w:jc w:val="center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7675A">
              <w:rPr>
                <w:rFonts w:ascii="Roboto" w:hAnsi="Roboto" w:cs="Times New Roman"/>
                <w:color w:val="212121"/>
                <w:sz w:val="23"/>
                <w:szCs w:val="23"/>
              </w:rPr>
              <w:t>2.0 to 3.0</w:t>
            </w:r>
          </w:p>
        </w:tc>
      </w:tr>
      <w:tr w:rsidR="0097675A" w:rsidRPr="0097675A" w14:paraId="6B636A34" w14:textId="77777777">
        <w:trPr>
          <w:divId w:val="481771851"/>
        </w:trPr>
        <w:tc>
          <w:tcPr>
            <w:tcW w:w="0" w:type="auto"/>
            <w:tcBorders>
              <w:top w:val="single" w:sz="6" w:space="0" w:color="010101"/>
              <w:left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28B31B65" w14:textId="77777777" w:rsidR="0097675A" w:rsidRPr="0097675A" w:rsidRDefault="0097675A" w:rsidP="0097675A">
            <w:pPr>
              <w:spacing w:before="120" w:after="180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7675A">
              <w:rPr>
                <w:rFonts w:ascii="Roboto" w:hAnsi="Roboto" w:cs="Times New Roman"/>
                <w:color w:val="212121"/>
                <w:sz w:val="23"/>
                <w:szCs w:val="23"/>
              </w:rPr>
              <w:t>Mechanical valves:</w:t>
            </w:r>
          </w:p>
        </w:tc>
        <w:tc>
          <w:tcPr>
            <w:tcW w:w="0" w:type="auto"/>
            <w:tcBorders>
              <w:top w:val="single" w:sz="6" w:space="0" w:color="010101"/>
              <w:left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7A2EAB02" w14:textId="77777777" w:rsidR="0097675A" w:rsidRPr="0097675A" w:rsidRDefault="0097675A" w:rsidP="0097675A">
            <w:pPr>
              <w:spacing w:before="120" w:after="180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7675A">
              <w:rPr>
                <w:rFonts w:ascii="Roboto" w:hAnsi="Roboto" w:cs="Times New Roman"/>
                <w:color w:val="212121"/>
                <w:sz w:val="23"/>
                <w:szCs w:val="23"/>
              </w:rPr>
              <w:t> </w:t>
            </w:r>
          </w:p>
        </w:tc>
      </w:tr>
      <w:tr w:rsidR="0097675A" w:rsidRPr="0097675A" w14:paraId="6CC1F274" w14:textId="77777777">
        <w:trPr>
          <w:divId w:val="481771851"/>
        </w:trPr>
        <w:tc>
          <w:tcPr>
            <w:tcW w:w="0" w:type="auto"/>
            <w:tcBorders>
              <w:left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5FEE3E1B" w14:textId="77777777" w:rsidR="0097675A" w:rsidRPr="0097675A" w:rsidRDefault="0097675A" w:rsidP="0097675A">
            <w:pPr>
              <w:numPr>
                <w:ilvl w:val="0"/>
                <w:numId w:val="4"/>
              </w:numPr>
              <w:spacing w:after="180"/>
              <w:rPr>
                <w:rFonts w:ascii="Roboto" w:eastAsia="Times New Roman" w:hAnsi="Roboto" w:cs="Times New Roman"/>
                <w:color w:val="212121"/>
                <w:sz w:val="23"/>
                <w:szCs w:val="23"/>
              </w:rPr>
            </w:pPr>
            <w:r w:rsidRPr="0097675A">
              <w:rPr>
                <w:rFonts w:ascii="Roboto" w:eastAsia="Times New Roman" w:hAnsi="Roboto" w:cs="Times New Roman"/>
                <w:color w:val="212121"/>
                <w:sz w:val="23"/>
                <w:szCs w:val="23"/>
              </w:rPr>
              <w:lastRenderedPageBreak/>
              <w:t>Aortic valve replacement</w:t>
            </w:r>
          </w:p>
        </w:tc>
        <w:tc>
          <w:tcPr>
            <w:tcW w:w="0" w:type="auto"/>
            <w:tcBorders>
              <w:left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51D17D54" w14:textId="77777777" w:rsidR="0097675A" w:rsidRPr="0097675A" w:rsidRDefault="0097675A" w:rsidP="0097675A">
            <w:pPr>
              <w:spacing w:before="120" w:after="180"/>
              <w:jc w:val="center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7675A">
              <w:rPr>
                <w:rFonts w:ascii="Roboto" w:hAnsi="Roboto" w:cs="Times New Roman"/>
                <w:color w:val="212121"/>
                <w:sz w:val="23"/>
                <w:szCs w:val="23"/>
              </w:rPr>
              <w:t>2.5 (range 2.0 to 3.0)</w:t>
            </w:r>
            <w:r w:rsidRPr="0097675A">
              <w:rPr>
                <w:rFonts w:ascii="Roboto" w:hAnsi="Roboto" w:cs="Times New Roman"/>
                <w:color w:val="212121"/>
                <w:sz w:val="23"/>
                <w:szCs w:val="23"/>
              </w:rPr>
              <w:br/>
              <w:t>or as advised by specialist</w:t>
            </w:r>
          </w:p>
        </w:tc>
      </w:tr>
      <w:tr w:rsidR="0097675A" w:rsidRPr="0097675A" w14:paraId="39D4A577" w14:textId="77777777">
        <w:trPr>
          <w:divId w:val="481771851"/>
        </w:trPr>
        <w:tc>
          <w:tcPr>
            <w:tcW w:w="0" w:type="auto"/>
            <w:tcBorders>
              <w:left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677F3E67" w14:textId="77777777" w:rsidR="0097675A" w:rsidRPr="0097675A" w:rsidRDefault="0097675A" w:rsidP="0097675A">
            <w:pPr>
              <w:numPr>
                <w:ilvl w:val="0"/>
                <w:numId w:val="5"/>
              </w:numPr>
              <w:spacing w:after="180"/>
              <w:rPr>
                <w:rFonts w:ascii="Roboto" w:eastAsia="Times New Roman" w:hAnsi="Roboto" w:cs="Times New Roman"/>
                <w:color w:val="212121"/>
                <w:sz w:val="23"/>
                <w:szCs w:val="23"/>
              </w:rPr>
            </w:pPr>
            <w:r w:rsidRPr="0097675A">
              <w:rPr>
                <w:rFonts w:ascii="Roboto" w:eastAsia="Times New Roman" w:hAnsi="Roboto" w:cs="Times New Roman"/>
                <w:color w:val="212121"/>
                <w:sz w:val="23"/>
                <w:szCs w:val="23"/>
              </w:rPr>
              <w:t>Aortic valve replacement with at least one of:</w:t>
            </w:r>
          </w:p>
          <w:p w14:paraId="1789F5C6" w14:textId="77777777" w:rsidR="0097675A" w:rsidRPr="0097675A" w:rsidRDefault="0097675A" w:rsidP="0097675A">
            <w:pPr>
              <w:numPr>
                <w:ilvl w:val="1"/>
                <w:numId w:val="5"/>
              </w:numPr>
              <w:spacing w:after="180"/>
              <w:rPr>
                <w:rFonts w:ascii="Roboto" w:eastAsia="Times New Roman" w:hAnsi="Roboto" w:cs="Times New Roman"/>
                <w:color w:val="212121"/>
                <w:sz w:val="23"/>
                <w:szCs w:val="23"/>
              </w:rPr>
            </w:pPr>
            <w:r w:rsidRPr="0097675A">
              <w:rPr>
                <w:rFonts w:ascii="Roboto" w:eastAsia="Times New Roman" w:hAnsi="Roboto" w:cs="Times New Roman"/>
                <w:color w:val="212121"/>
                <w:sz w:val="23"/>
                <w:szCs w:val="23"/>
              </w:rPr>
              <w:t>atrial fibrillation</w:t>
            </w:r>
          </w:p>
          <w:p w14:paraId="22A6662D" w14:textId="77777777" w:rsidR="0097675A" w:rsidRPr="0097675A" w:rsidRDefault="0097675A" w:rsidP="0097675A">
            <w:pPr>
              <w:numPr>
                <w:ilvl w:val="1"/>
                <w:numId w:val="5"/>
              </w:numPr>
              <w:spacing w:after="180"/>
              <w:rPr>
                <w:rFonts w:ascii="Roboto" w:eastAsia="Times New Roman" w:hAnsi="Roboto" w:cs="Times New Roman"/>
                <w:color w:val="212121"/>
                <w:sz w:val="23"/>
                <w:szCs w:val="23"/>
              </w:rPr>
            </w:pPr>
            <w:r w:rsidRPr="0097675A">
              <w:rPr>
                <w:rFonts w:ascii="Roboto" w:eastAsia="Times New Roman" w:hAnsi="Roboto" w:cs="Times New Roman"/>
                <w:color w:val="212121"/>
                <w:sz w:val="23"/>
                <w:szCs w:val="23"/>
              </w:rPr>
              <w:t>previous, thromboembolism</w:t>
            </w:r>
          </w:p>
          <w:p w14:paraId="64AA9D7E" w14:textId="77777777" w:rsidR="0097675A" w:rsidRPr="0097675A" w:rsidRDefault="0097675A" w:rsidP="0097675A">
            <w:pPr>
              <w:numPr>
                <w:ilvl w:val="1"/>
                <w:numId w:val="5"/>
              </w:numPr>
              <w:spacing w:after="180"/>
              <w:rPr>
                <w:rFonts w:ascii="Roboto" w:eastAsia="Times New Roman" w:hAnsi="Roboto" w:cs="Times New Roman"/>
                <w:color w:val="212121"/>
                <w:sz w:val="23"/>
                <w:szCs w:val="23"/>
              </w:rPr>
            </w:pPr>
            <w:r w:rsidRPr="0097675A">
              <w:rPr>
                <w:rFonts w:ascii="Roboto" w:eastAsia="Times New Roman" w:hAnsi="Roboto" w:cs="Times New Roman"/>
                <w:color w:val="212121"/>
                <w:sz w:val="23"/>
                <w:szCs w:val="23"/>
              </w:rPr>
              <w:t>mitral stenosis</w:t>
            </w:r>
          </w:p>
          <w:p w14:paraId="0068E01E" w14:textId="77777777" w:rsidR="0097675A" w:rsidRPr="0097675A" w:rsidRDefault="0097675A" w:rsidP="0097675A">
            <w:pPr>
              <w:numPr>
                <w:ilvl w:val="1"/>
                <w:numId w:val="5"/>
              </w:numPr>
              <w:spacing w:after="180"/>
              <w:rPr>
                <w:rFonts w:ascii="Roboto" w:eastAsia="Times New Roman" w:hAnsi="Roboto" w:cs="Times New Roman"/>
                <w:color w:val="212121"/>
                <w:sz w:val="23"/>
                <w:szCs w:val="23"/>
              </w:rPr>
            </w:pPr>
            <w:r w:rsidRPr="0097675A">
              <w:rPr>
                <w:rFonts w:ascii="Roboto" w:eastAsia="Times New Roman" w:hAnsi="Roboto" w:cs="Times New Roman"/>
                <w:color w:val="212121"/>
                <w:sz w:val="23"/>
                <w:szCs w:val="23"/>
              </w:rPr>
              <w:t>LV ejection fraction less than 35%</w:t>
            </w:r>
          </w:p>
        </w:tc>
        <w:tc>
          <w:tcPr>
            <w:tcW w:w="0" w:type="auto"/>
            <w:tcBorders>
              <w:left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526A7D3E" w14:textId="77777777" w:rsidR="0097675A" w:rsidRPr="0097675A" w:rsidRDefault="0097675A" w:rsidP="0097675A">
            <w:pPr>
              <w:spacing w:before="120" w:after="180"/>
              <w:jc w:val="center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7675A">
              <w:rPr>
                <w:rFonts w:ascii="Roboto" w:hAnsi="Roboto" w:cs="Times New Roman"/>
                <w:color w:val="212121"/>
                <w:sz w:val="23"/>
                <w:szCs w:val="23"/>
              </w:rPr>
              <w:t> </w:t>
            </w:r>
          </w:p>
          <w:p w14:paraId="5A53A304" w14:textId="77777777" w:rsidR="0097675A" w:rsidRPr="0097675A" w:rsidRDefault="0097675A" w:rsidP="0097675A">
            <w:pPr>
              <w:spacing w:before="120" w:after="180"/>
              <w:jc w:val="center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7675A">
              <w:rPr>
                <w:rFonts w:ascii="Roboto" w:hAnsi="Roboto" w:cs="Times New Roman"/>
                <w:color w:val="212121"/>
                <w:sz w:val="23"/>
                <w:szCs w:val="23"/>
              </w:rPr>
              <w:t>  </w:t>
            </w:r>
          </w:p>
          <w:p w14:paraId="55A1C378" w14:textId="77777777" w:rsidR="0097675A" w:rsidRPr="0097675A" w:rsidRDefault="0097675A" w:rsidP="0097675A">
            <w:pPr>
              <w:spacing w:before="120" w:after="180"/>
              <w:jc w:val="center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7675A">
              <w:rPr>
                <w:rFonts w:ascii="Roboto" w:hAnsi="Roboto" w:cs="Times New Roman"/>
                <w:color w:val="212121"/>
                <w:sz w:val="23"/>
                <w:szCs w:val="23"/>
              </w:rPr>
              <w:t>3.0 (range 2.5 to 3.5) </w:t>
            </w:r>
            <w:r w:rsidRPr="0097675A">
              <w:rPr>
                <w:rFonts w:ascii="Roboto" w:hAnsi="Roboto" w:cs="Times New Roman"/>
                <w:color w:val="212121"/>
                <w:sz w:val="23"/>
                <w:szCs w:val="23"/>
              </w:rPr>
              <w:br/>
              <w:t>or as advised by specialist</w:t>
            </w:r>
          </w:p>
        </w:tc>
      </w:tr>
      <w:tr w:rsidR="0097675A" w:rsidRPr="0097675A" w14:paraId="3ECF2EE9" w14:textId="77777777">
        <w:trPr>
          <w:divId w:val="481771851"/>
        </w:trPr>
        <w:tc>
          <w:tcPr>
            <w:tcW w:w="0" w:type="auto"/>
            <w:tcBorders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2DDC9C06" w14:textId="77777777" w:rsidR="0097675A" w:rsidRPr="0097675A" w:rsidRDefault="0097675A" w:rsidP="0097675A">
            <w:pPr>
              <w:numPr>
                <w:ilvl w:val="0"/>
                <w:numId w:val="6"/>
              </w:numPr>
              <w:spacing w:after="180"/>
              <w:rPr>
                <w:rFonts w:ascii="Roboto" w:eastAsia="Times New Roman" w:hAnsi="Roboto" w:cs="Times New Roman"/>
                <w:color w:val="212121"/>
                <w:sz w:val="23"/>
                <w:szCs w:val="23"/>
              </w:rPr>
            </w:pPr>
            <w:r w:rsidRPr="0097675A">
              <w:rPr>
                <w:rFonts w:ascii="Roboto" w:eastAsia="Times New Roman" w:hAnsi="Roboto" w:cs="Times New Roman"/>
                <w:color w:val="212121"/>
                <w:sz w:val="23"/>
                <w:szCs w:val="23"/>
              </w:rPr>
              <w:t>Mitral valve replacement</w:t>
            </w:r>
          </w:p>
        </w:tc>
        <w:tc>
          <w:tcPr>
            <w:tcW w:w="0" w:type="auto"/>
            <w:tcBorders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035A6B33" w14:textId="77777777" w:rsidR="0097675A" w:rsidRPr="0097675A" w:rsidRDefault="0097675A" w:rsidP="0097675A">
            <w:pPr>
              <w:spacing w:before="120" w:after="180"/>
              <w:jc w:val="center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7675A">
              <w:rPr>
                <w:rFonts w:ascii="Roboto" w:hAnsi="Roboto" w:cs="Times New Roman"/>
                <w:color w:val="212121"/>
                <w:sz w:val="23"/>
                <w:szCs w:val="23"/>
              </w:rPr>
              <w:t>3.0 (range 2.5 to 3.5) </w:t>
            </w:r>
            <w:r w:rsidRPr="0097675A">
              <w:rPr>
                <w:rFonts w:ascii="Roboto" w:hAnsi="Roboto" w:cs="Times New Roman"/>
                <w:color w:val="212121"/>
                <w:sz w:val="23"/>
                <w:szCs w:val="23"/>
              </w:rPr>
              <w:br/>
              <w:t>or as advised by specialist</w:t>
            </w:r>
          </w:p>
        </w:tc>
      </w:tr>
    </w:tbl>
    <w:p w14:paraId="4E99BC47" w14:textId="5EBFA8DC" w:rsidR="00AA7891" w:rsidRDefault="00AA7891">
      <w:pPr>
        <w:rPr>
          <w:lang w:val="en-AU"/>
        </w:rPr>
      </w:pPr>
    </w:p>
    <w:p w14:paraId="2F344739" w14:textId="77777777" w:rsidR="00F4632C" w:rsidRDefault="00F4632C">
      <w:pPr>
        <w:pStyle w:val="bodytext"/>
        <w:shd w:val="clear" w:color="auto" w:fill="EEEEEE"/>
        <w:spacing w:before="0" w:beforeAutospacing="0" w:after="255" w:afterAutospacing="0"/>
        <w:divId w:val="83767189"/>
        <w:rPr>
          <w:rFonts w:ascii="Roboto" w:hAnsi="Roboto"/>
          <w:color w:val="212121"/>
          <w:sz w:val="23"/>
          <w:szCs w:val="23"/>
        </w:rPr>
      </w:pPr>
      <w:r>
        <w:rPr>
          <w:rFonts w:ascii="Roboto" w:hAnsi="Roboto"/>
          <w:color w:val="212121"/>
          <w:sz w:val="23"/>
          <w:szCs w:val="23"/>
        </w:rPr>
        <w:t>Seek</w:t>
      </w:r>
      <w:r>
        <w:rPr>
          <w:rStyle w:val="apple-converted-space"/>
          <w:rFonts w:ascii="Roboto" w:hAnsi="Roboto"/>
          <w:color w:val="212121"/>
          <w:sz w:val="23"/>
          <w:szCs w:val="23"/>
        </w:rPr>
        <w:t> </w:t>
      </w:r>
      <w:hyperlink r:id="rId6" w:tgtFrame="_self" w:tooltip="Cardiology Advice" w:history="1">
        <w:r>
          <w:rPr>
            <w:rStyle w:val="Hyperlink"/>
            <w:rFonts w:ascii="Roboto" w:hAnsi="Roboto"/>
            <w:color w:val="398ECC"/>
            <w:sz w:val="23"/>
            <w:szCs w:val="23"/>
          </w:rPr>
          <w:t>cardiology advice</w:t>
        </w:r>
      </w:hyperlink>
      <w:r>
        <w:rPr>
          <w:rStyle w:val="apple-converted-space"/>
          <w:rFonts w:ascii="Roboto" w:hAnsi="Roboto"/>
          <w:color w:val="212121"/>
          <w:sz w:val="23"/>
          <w:szCs w:val="23"/>
        </w:rPr>
        <w:t> </w:t>
      </w:r>
      <w:r>
        <w:rPr>
          <w:rFonts w:ascii="Roboto" w:hAnsi="Roboto"/>
          <w:color w:val="212121"/>
          <w:sz w:val="23"/>
          <w:szCs w:val="23"/>
        </w:rPr>
        <w:t xml:space="preserve">about bridging </w:t>
      </w:r>
      <w:proofErr w:type="spellStart"/>
      <w:r>
        <w:rPr>
          <w:rFonts w:ascii="Roboto" w:hAnsi="Roboto"/>
          <w:color w:val="212121"/>
          <w:sz w:val="23"/>
          <w:szCs w:val="23"/>
        </w:rPr>
        <w:t>Clexane</w:t>
      </w:r>
      <w:proofErr w:type="spellEnd"/>
      <w:r>
        <w:rPr>
          <w:rFonts w:ascii="Roboto" w:hAnsi="Roboto"/>
          <w:color w:val="212121"/>
          <w:sz w:val="23"/>
          <w:szCs w:val="23"/>
        </w:rPr>
        <w:t xml:space="preserve"> if the patient has a mechanical heart valve</w:t>
      </w:r>
      <w:r>
        <w:rPr>
          <w:rStyle w:val="apple-converted-space"/>
          <w:rFonts w:ascii="Roboto" w:hAnsi="Roboto"/>
          <w:color w:val="212121"/>
          <w:sz w:val="23"/>
          <w:szCs w:val="23"/>
        </w:rPr>
        <w:t> </w:t>
      </w:r>
      <w:r>
        <w:rPr>
          <w:rFonts w:ascii="Roboto" w:hAnsi="Roboto"/>
          <w:color w:val="212121"/>
          <w:sz w:val="23"/>
          <w:szCs w:val="23"/>
        </w:rPr>
        <w:t>and</w:t>
      </w:r>
      <w:r>
        <w:rPr>
          <w:rStyle w:val="apple-converted-space"/>
          <w:rFonts w:ascii="Roboto" w:hAnsi="Roboto"/>
          <w:color w:val="212121"/>
          <w:sz w:val="23"/>
          <w:szCs w:val="23"/>
        </w:rPr>
        <w:t> </w:t>
      </w:r>
      <w:r>
        <w:rPr>
          <w:rFonts w:ascii="Roboto" w:hAnsi="Roboto"/>
          <w:color w:val="212121"/>
          <w:sz w:val="23"/>
          <w:szCs w:val="23"/>
        </w:rPr>
        <w:t xml:space="preserve">INR is </w:t>
      </w:r>
      <w:proofErr w:type="spellStart"/>
      <w:r>
        <w:rPr>
          <w:rFonts w:ascii="Roboto" w:hAnsi="Roboto"/>
          <w:color w:val="212121"/>
          <w:sz w:val="23"/>
          <w:szCs w:val="23"/>
        </w:rPr>
        <w:t>subtherapeutic</w:t>
      </w:r>
      <w:proofErr w:type="spellEnd"/>
      <w:r>
        <w:rPr>
          <w:rFonts w:ascii="Roboto" w:hAnsi="Roboto"/>
          <w:color w:val="212121"/>
          <w:sz w:val="23"/>
          <w:szCs w:val="23"/>
        </w:rPr>
        <w:t>.</w:t>
      </w:r>
    </w:p>
    <w:p w14:paraId="039D2EBA" w14:textId="77777777" w:rsidR="00F4632C" w:rsidRDefault="00F4632C">
      <w:pPr>
        <w:pStyle w:val="bodytext"/>
        <w:shd w:val="clear" w:color="auto" w:fill="EEEEEE"/>
        <w:spacing w:before="0" w:beforeAutospacing="0" w:after="255" w:afterAutospacing="0"/>
        <w:divId w:val="83767189"/>
        <w:rPr>
          <w:rFonts w:ascii="Roboto" w:hAnsi="Roboto"/>
          <w:color w:val="212121"/>
          <w:sz w:val="23"/>
          <w:szCs w:val="23"/>
        </w:rPr>
      </w:pPr>
      <w:r>
        <w:rPr>
          <w:rFonts w:ascii="Roboto" w:hAnsi="Roboto"/>
          <w:color w:val="212121"/>
          <w:sz w:val="23"/>
          <w:szCs w:val="23"/>
        </w:rPr>
        <w:t>Consider using the best practice –</w:t>
      </w:r>
      <w:r>
        <w:rPr>
          <w:rStyle w:val="apple-converted-space"/>
          <w:rFonts w:ascii="Roboto" w:hAnsi="Roboto"/>
          <w:color w:val="212121"/>
          <w:sz w:val="23"/>
          <w:szCs w:val="23"/>
        </w:rPr>
        <w:t> </w:t>
      </w:r>
      <w:hyperlink r:id="rId7" w:tgtFrame="_blank" w:history="1">
        <w:r>
          <w:rPr>
            <w:rStyle w:val="Hyperlink"/>
            <w:rFonts w:ascii="Roboto" w:hAnsi="Roboto"/>
            <w:color w:val="398ECC"/>
            <w:sz w:val="23"/>
            <w:szCs w:val="23"/>
          </w:rPr>
          <w:t>Decision support INR</w:t>
        </w:r>
        <w:r>
          <w:rPr>
            <w:rStyle w:val="apple-converted-space"/>
            <w:rFonts w:ascii="Roboto" w:hAnsi="Roboto"/>
            <w:color w:val="398ECC"/>
            <w:sz w:val="23"/>
            <w:szCs w:val="23"/>
          </w:rPr>
          <w:t> </w:t>
        </w:r>
        <w:r>
          <w:rPr>
            <w:rStyle w:val="Hyperlink"/>
            <w:rFonts w:ascii="Roboto" w:hAnsi="Roboto"/>
            <w:color w:val="398ECC"/>
            <w:sz w:val="23"/>
            <w:szCs w:val="23"/>
          </w:rPr>
          <w:t>monitoring</w:t>
        </w:r>
        <w:r>
          <w:rPr>
            <w:rStyle w:val="apple-converted-space"/>
            <w:rFonts w:ascii="Roboto" w:hAnsi="Roboto"/>
            <w:color w:val="398ECC"/>
            <w:sz w:val="23"/>
            <w:szCs w:val="23"/>
          </w:rPr>
          <w:t> </w:t>
        </w:r>
        <w:r>
          <w:rPr>
            <w:rStyle w:val="Hyperlink"/>
            <w:rFonts w:ascii="Roboto" w:hAnsi="Roboto"/>
            <w:color w:val="398ECC"/>
            <w:sz w:val="23"/>
            <w:szCs w:val="23"/>
          </w:rPr>
          <w:t>module</w:t>
        </w:r>
      </w:hyperlink>
      <w:r>
        <w:rPr>
          <w:rFonts w:ascii="Roboto" w:hAnsi="Roboto"/>
          <w:color w:val="212121"/>
          <w:sz w:val="23"/>
          <w:szCs w:val="23"/>
        </w:rPr>
        <w:t>.</w:t>
      </w:r>
    </w:p>
    <w:p w14:paraId="79BDE4C6" w14:textId="03D673EE" w:rsidR="00F4632C" w:rsidRPr="00D2115F" w:rsidRDefault="00F4632C">
      <w:pPr>
        <w:rPr>
          <w:color w:val="FF0000"/>
          <w:lang w:val="en-AU"/>
        </w:rPr>
      </w:pPr>
    </w:p>
    <w:p w14:paraId="552A31F9" w14:textId="041CB64A" w:rsidR="00F4632C" w:rsidRDefault="00F4632C">
      <w:pPr>
        <w:rPr>
          <w:lang w:val="en-AU"/>
        </w:rPr>
      </w:pPr>
      <w:r w:rsidRPr="00D2115F">
        <w:rPr>
          <w:color w:val="FF0000"/>
          <w:lang w:val="en-AU"/>
        </w:rPr>
        <w:t>2</w:t>
      </w:r>
    </w:p>
    <w:p w14:paraId="5C89F791" w14:textId="33EB68D7" w:rsidR="00F4632C" w:rsidRDefault="00F4632C">
      <w:pPr>
        <w:rPr>
          <w:lang w:val="en-AU"/>
        </w:rPr>
      </w:pPr>
    </w:p>
    <w:p w14:paraId="6CB25FAD" w14:textId="3A668279" w:rsidR="004A737B" w:rsidRDefault="000E140D" w:rsidP="007F14B6">
      <w:pPr>
        <w:rPr>
          <w:color w:val="FF0000"/>
          <w:lang w:val="en-AU"/>
        </w:rPr>
      </w:pPr>
      <w:r>
        <w:rPr>
          <w:rFonts w:ascii="Roboto" w:eastAsia="Times New Roman" w:hAnsi="Roboto"/>
          <w:color w:val="212121"/>
          <w:sz w:val="23"/>
          <w:szCs w:val="23"/>
        </w:rPr>
        <w:t>If the patient is in atrial fibrillation, reassess the bleeding risk regularly (i.e., at</w:t>
      </w:r>
      <w:r w:rsidR="00751954">
        <w:rPr>
          <w:rFonts w:ascii="Roboto" w:eastAsia="Times New Roman" w:hAnsi="Roboto"/>
          <w:color w:val="212121"/>
          <w:sz w:val="23"/>
          <w:szCs w:val="23"/>
        </w:rPr>
        <w:t xml:space="preserve"> </w:t>
      </w:r>
      <w:r>
        <w:rPr>
          <w:rFonts w:ascii="Roboto" w:eastAsia="Times New Roman" w:hAnsi="Roboto"/>
          <w:color w:val="212121"/>
          <w:sz w:val="23"/>
          <w:szCs w:val="23"/>
        </w:rPr>
        <w:t>least annually) using the</w:t>
      </w:r>
      <w:r>
        <w:rPr>
          <w:rStyle w:val="apple-converted-space"/>
          <w:rFonts w:ascii="Roboto" w:eastAsia="Times New Roman" w:hAnsi="Roboto"/>
          <w:color w:val="212121"/>
          <w:sz w:val="23"/>
          <w:szCs w:val="23"/>
        </w:rPr>
        <w:t> </w:t>
      </w:r>
      <w:r>
        <w:rPr>
          <w:rFonts w:ascii="Roboto" w:eastAsia="Times New Roman" w:hAnsi="Roboto"/>
          <w:noProof/>
          <w:color w:val="212121"/>
          <w:sz w:val="23"/>
          <w:szCs w:val="23"/>
        </w:rPr>
        <w:drawing>
          <wp:inline distT="0" distB="0" distL="0" distR="0" wp14:anchorId="383CBB28" wp14:editId="0CE4B64A">
            <wp:extent cx="304800" cy="1162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100420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/>
          <w:color w:val="212121"/>
          <w:sz w:val="23"/>
          <w:szCs w:val="23"/>
        </w:rPr>
        <w:t>HAS-BLED</w:t>
      </w:r>
      <w:r>
        <w:rPr>
          <w:rStyle w:val="apple-converted-space"/>
          <w:rFonts w:ascii="Roboto" w:eastAsia="Times New Roman" w:hAnsi="Roboto"/>
          <w:color w:val="212121"/>
          <w:sz w:val="23"/>
          <w:szCs w:val="23"/>
        </w:rPr>
        <w:t> </w:t>
      </w:r>
      <w:r>
        <w:rPr>
          <w:rFonts w:ascii="Roboto" w:eastAsia="Times New Roman" w:hAnsi="Roboto"/>
          <w:color w:val="212121"/>
          <w:sz w:val="23"/>
          <w:szCs w:val="23"/>
        </w:rPr>
        <w:t>score</w:t>
      </w:r>
    </w:p>
    <w:p w14:paraId="7C41E849" w14:textId="07793D85" w:rsidR="00A95FD7" w:rsidRDefault="00A95FD7" w:rsidP="007F14B6">
      <w:pPr>
        <w:rPr>
          <w:color w:val="FF0000"/>
          <w:lang w:val="en-AU"/>
        </w:rPr>
      </w:pPr>
    </w:p>
    <w:p w14:paraId="5139DAAD" w14:textId="33870400" w:rsidR="00A95FD7" w:rsidRDefault="00A95FD7" w:rsidP="007F14B6">
      <w:pPr>
        <w:rPr>
          <w:color w:val="FF0000"/>
          <w:lang w:val="en-AU"/>
        </w:rPr>
      </w:pPr>
    </w:p>
    <w:p w14:paraId="5DB15614" w14:textId="752CE5A7" w:rsidR="00A95FD7" w:rsidRDefault="00A95FD7" w:rsidP="007F14B6">
      <w:pPr>
        <w:rPr>
          <w:color w:val="FF0000"/>
          <w:lang w:val="en-AU"/>
        </w:rPr>
      </w:pPr>
      <w:r>
        <w:rPr>
          <w:color w:val="FF0000"/>
          <w:lang w:val="en-AU"/>
        </w:rPr>
        <w:t>3</w:t>
      </w:r>
    </w:p>
    <w:p w14:paraId="56732F2D" w14:textId="1BE5C6C3" w:rsidR="00A95FD7" w:rsidRDefault="00A95FD7" w:rsidP="007F14B6">
      <w:pPr>
        <w:rPr>
          <w:color w:val="FF0000"/>
          <w:lang w:val="en-AU"/>
        </w:rPr>
      </w:pPr>
    </w:p>
    <w:p w14:paraId="26259995" w14:textId="77777777" w:rsidR="00377324" w:rsidRPr="00377324" w:rsidRDefault="00377324" w:rsidP="00377324">
      <w:pPr>
        <w:shd w:val="clear" w:color="auto" w:fill="EEEEEE"/>
        <w:divId w:val="1227840620"/>
        <w:rPr>
          <w:rFonts w:ascii="Roboto" w:eastAsia="Times New Roman" w:hAnsi="Roboto" w:cs="Times New Roman"/>
          <w:sz w:val="24"/>
          <w:szCs w:val="24"/>
        </w:rPr>
      </w:pPr>
      <w:r w:rsidRPr="00377324">
        <w:rPr>
          <w:rFonts w:ascii="Roboto" w:eastAsia="Times New Roman" w:hAnsi="Roboto" w:cs="Times New Roman"/>
          <w:sz w:val="24"/>
          <w:szCs w:val="24"/>
        </w:rPr>
        <w:t>If there is a significant change in INR levels, consider potential causes e.g.:</w:t>
      </w:r>
    </w:p>
    <w:p w14:paraId="0B81AAC5" w14:textId="77777777" w:rsidR="00377324" w:rsidRPr="00377324" w:rsidRDefault="00377324" w:rsidP="00377324">
      <w:pPr>
        <w:numPr>
          <w:ilvl w:val="0"/>
          <w:numId w:val="9"/>
        </w:numPr>
        <w:shd w:val="clear" w:color="auto" w:fill="EEEEEE"/>
        <w:spacing w:after="180"/>
        <w:ind w:left="1020"/>
        <w:divId w:val="1227840620"/>
        <w:rPr>
          <w:rFonts w:ascii="Roboto" w:eastAsia="Times New Roman" w:hAnsi="Roboto" w:cs="Times New Roman"/>
          <w:color w:val="212121"/>
          <w:sz w:val="23"/>
          <w:szCs w:val="23"/>
        </w:rPr>
      </w:pPr>
      <w:r w:rsidRPr="00377324">
        <w:rPr>
          <w:rFonts w:ascii="Roboto" w:eastAsia="Times New Roman" w:hAnsi="Roboto" w:cs="Times New Roman"/>
          <w:color w:val="212121"/>
          <w:sz w:val="23"/>
          <w:szCs w:val="23"/>
        </w:rPr>
        <w:t>compliance.</w:t>
      </w:r>
    </w:p>
    <w:p w14:paraId="0880FF8B" w14:textId="77777777" w:rsidR="00377324" w:rsidRPr="00377324" w:rsidRDefault="00377324" w:rsidP="00377324">
      <w:pPr>
        <w:numPr>
          <w:ilvl w:val="0"/>
          <w:numId w:val="9"/>
        </w:numPr>
        <w:shd w:val="clear" w:color="auto" w:fill="EEEEEE"/>
        <w:spacing w:after="180"/>
        <w:ind w:left="1020"/>
        <w:divId w:val="1227840620"/>
        <w:rPr>
          <w:rFonts w:ascii="Roboto" w:eastAsia="Times New Roman" w:hAnsi="Roboto" w:cs="Times New Roman"/>
          <w:color w:val="212121"/>
          <w:sz w:val="23"/>
          <w:szCs w:val="23"/>
        </w:rPr>
      </w:pPr>
      <w:r w:rsidRPr="00377324">
        <w:rPr>
          <w:rFonts w:ascii="Roboto" w:eastAsia="Times New Roman" w:hAnsi="Roboto" w:cs="Times New Roman"/>
          <w:noProof/>
          <w:color w:val="212121"/>
          <w:sz w:val="23"/>
          <w:szCs w:val="23"/>
        </w:rPr>
        <w:drawing>
          <wp:inline distT="0" distB="0" distL="0" distR="0" wp14:anchorId="733529D1" wp14:editId="599220A6">
            <wp:extent cx="304800" cy="1162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30201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324">
        <w:rPr>
          <w:rFonts w:ascii="Roboto" w:eastAsia="Times New Roman" w:hAnsi="Roboto" w:cs="Times New Roman"/>
          <w:color w:val="212121"/>
          <w:sz w:val="23"/>
          <w:szCs w:val="23"/>
        </w:rPr>
        <w:t>drug interactions.</w:t>
      </w:r>
    </w:p>
    <w:p w14:paraId="57D81EE8" w14:textId="77777777" w:rsidR="00377324" w:rsidRPr="00377324" w:rsidRDefault="00377324" w:rsidP="00377324">
      <w:pPr>
        <w:numPr>
          <w:ilvl w:val="0"/>
          <w:numId w:val="9"/>
        </w:numPr>
        <w:shd w:val="clear" w:color="auto" w:fill="EEEEEE"/>
        <w:spacing w:after="180"/>
        <w:ind w:left="1020"/>
        <w:divId w:val="1227840620"/>
        <w:rPr>
          <w:rFonts w:ascii="Roboto" w:eastAsia="Times New Roman" w:hAnsi="Roboto" w:cs="Times New Roman"/>
          <w:color w:val="212121"/>
          <w:sz w:val="23"/>
          <w:szCs w:val="23"/>
        </w:rPr>
      </w:pPr>
      <w:r w:rsidRPr="00377324">
        <w:rPr>
          <w:rFonts w:ascii="Roboto" w:eastAsia="Times New Roman" w:hAnsi="Roboto" w:cs="Times New Roman"/>
          <w:noProof/>
          <w:color w:val="212121"/>
          <w:sz w:val="23"/>
          <w:szCs w:val="23"/>
        </w:rPr>
        <w:drawing>
          <wp:inline distT="0" distB="0" distL="0" distR="0" wp14:anchorId="55FB6588" wp14:editId="2872FB75">
            <wp:extent cx="304800" cy="1162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31016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324">
        <w:rPr>
          <w:rFonts w:ascii="Roboto" w:eastAsia="Times New Roman" w:hAnsi="Roboto" w:cs="Times New Roman"/>
          <w:color w:val="212121"/>
          <w:sz w:val="23"/>
          <w:szCs w:val="23"/>
        </w:rPr>
        <w:t>major changes in diet or alcohol use.</w:t>
      </w:r>
    </w:p>
    <w:p w14:paraId="192698F4" w14:textId="77777777" w:rsidR="00377324" w:rsidRPr="00377324" w:rsidRDefault="00377324" w:rsidP="00377324">
      <w:pPr>
        <w:numPr>
          <w:ilvl w:val="0"/>
          <w:numId w:val="9"/>
        </w:numPr>
        <w:shd w:val="clear" w:color="auto" w:fill="EEEEEE"/>
        <w:spacing w:after="180"/>
        <w:ind w:left="1020"/>
        <w:divId w:val="1227840620"/>
        <w:rPr>
          <w:rFonts w:ascii="Roboto" w:eastAsia="Times New Roman" w:hAnsi="Roboto" w:cs="Times New Roman"/>
          <w:color w:val="212121"/>
          <w:sz w:val="23"/>
          <w:szCs w:val="23"/>
        </w:rPr>
      </w:pPr>
      <w:r w:rsidRPr="00377324">
        <w:rPr>
          <w:rFonts w:ascii="Roboto" w:eastAsia="Times New Roman" w:hAnsi="Roboto" w:cs="Times New Roman"/>
          <w:color w:val="212121"/>
          <w:sz w:val="23"/>
          <w:szCs w:val="23"/>
        </w:rPr>
        <w:t>concurrent disease e.g., heart failure, liver failure, thyroid disease, vomiting and diarrhoea.</w:t>
      </w:r>
    </w:p>
    <w:p w14:paraId="65AA5E27" w14:textId="71A487A3" w:rsidR="00A95FD7" w:rsidRPr="00377324" w:rsidRDefault="00377324" w:rsidP="00377324">
      <w:pPr>
        <w:numPr>
          <w:ilvl w:val="0"/>
          <w:numId w:val="9"/>
        </w:numPr>
        <w:shd w:val="clear" w:color="auto" w:fill="EEEEEE"/>
        <w:spacing w:after="300"/>
        <w:ind w:left="1320" w:right="525"/>
        <w:divId w:val="1227840620"/>
        <w:rPr>
          <w:rFonts w:ascii="Roboto" w:eastAsia="Times New Roman" w:hAnsi="Roboto" w:cs="Times New Roman"/>
          <w:color w:val="212121"/>
          <w:sz w:val="23"/>
          <w:szCs w:val="23"/>
        </w:rPr>
      </w:pPr>
      <w:hyperlink r:id="rId8" w:tgtFrame="_self" w:tooltip="Warfarin Over-anticoagulation" w:history="1">
        <w:r w:rsidRPr="00377324">
          <w:rPr>
            <w:rFonts w:ascii="Roboto" w:eastAsia="Times New Roman" w:hAnsi="Roboto" w:cs="Times New Roman"/>
            <w:color w:val="398ECC"/>
            <w:sz w:val="23"/>
            <w:szCs w:val="23"/>
          </w:rPr>
          <w:t>warfarin over-anticoagulation</w:t>
        </w:r>
      </w:hyperlink>
      <w:r w:rsidRPr="00377324">
        <w:rPr>
          <w:rFonts w:ascii="Roboto" w:eastAsia="Times New Roman" w:hAnsi="Roboto" w:cs="Times New Roman"/>
          <w:color w:val="212121"/>
          <w:sz w:val="23"/>
          <w:szCs w:val="23"/>
        </w:rPr>
        <w:t>.</w:t>
      </w:r>
    </w:p>
    <w:p w14:paraId="7852DE02" w14:textId="57B9BB2F" w:rsidR="00A95FD7" w:rsidRDefault="00DB00AF" w:rsidP="007F14B6">
      <w:pPr>
        <w:rPr>
          <w:color w:val="FF0000"/>
          <w:lang w:val="en-AU"/>
        </w:rPr>
      </w:pPr>
      <w:r>
        <w:rPr>
          <w:color w:val="FF0000"/>
          <w:lang w:val="en-AU"/>
        </w:rPr>
        <w:br/>
        <w:t>4</w:t>
      </w:r>
    </w:p>
    <w:p w14:paraId="1B292316" w14:textId="1433C3F5" w:rsidR="00A95FD7" w:rsidRDefault="00A95FD7" w:rsidP="007F14B6">
      <w:pPr>
        <w:rPr>
          <w:color w:val="FF0000"/>
          <w:lang w:val="en-AU"/>
        </w:rPr>
      </w:pPr>
    </w:p>
    <w:p w14:paraId="20F153FD" w14:textId="6D57DCE6" w:rsidR="00A95FD7" w:rsidRDefault="00791877" w:rsidP="007F14B6">
      <w:pPr>
        <w:rPr>
          <w:rFonts w:ascii="Roboto" w:eastAsia="Times New Roman" w:hAnsi="Roboto"/>
          <w:color w:val="212121"/>
          <w:sz w:val="23"/>
          <w:szCs w:val="23"/>
          <w:shd w:val="clear" w:color="auto" w:fill="EEEEEE"/>
        </w:rPr>
      </w:pPr>
      <w:r>
        <w:rPr>
          <w:rFonts w:ascii="Roboto" w:eastAsia="Times New Roman" w:hAnsi="Roboto"/>
          <w:color w:val="212121"/>
          <w:sz w:val="23"/>
          <w:szCs w:val="23"/>
          <w:shd w:val="clear" w:color="auto" w:fill="EEEEEE"/>
        </w:rPr>
        <w:t>Consider</w:t>
      </w:r>
      <w:r>
        <w:rPr>
          <w:rStyle w:val="apple-converted-space"/>
          <w:rFonts w:ascii="Roboto" w:eastAsia="Times New Roman" w:hAnsi="Roboto"/>
          <w:color w:val="212121"/>
          <w:sz w:val="23"/>
          <w:szCs w:val="23"/>
          <w:shd w:val="clear" w:color="auto" w:fill="EEEEEE"/>
        </w:rPr>
        <w:t> </w:t>
      </w:r>
      <w:r>
        <w:rPr>
          <w:rFonts w:eastAsia="Times New Roman"/>
          <w:noProof/>
        </w:rPr>
        <w:drawing>
          <wp:inline distT="0" distB="0" distL="0" distR="0" wp14:anchorId="78501D15" wp14:editId="3478980E">
            <wp:extent cx="304800" cy="1162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2502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adjusting the dose</w:t>
      </w:r>
      <w:r>
        <w:rPr>
          <w:rStyle w:val="apple-converted-space"/>
          <w:rFonts w:ascii="Roboto" w:eastAsia="Times New Roman" w:hAnsi="Roboto"/>
          <w:color w:val="212121"/>
          <w:sz w:val="23"/>
          <w:szCs w:val="23"/>
          <w:shd w:val="clear" w:color="auto" w:fill="EEEEEE"/>
        </w:rPr>
        <w:t> </w:t>
      </w:r>
      <w:r>
        <w:rPr>
          <w:rFonts w:ascii="Roboto" w:eastAsia="Times New Roman" w:hAnsi="Roboto"/>
          <w:color w:val="212121"/>
          <w:sz w:val="23"/>
          <w:szCs w:val="23"/>
          <w:shd w:val="clear" w:color="auto" w:fill="EEEEEE"/>
        </w:rPr>
        <w:t>of</w:t>
      </w:r>
      <w:r>
        <w:rPr>
          <w:rStyle w:val="apple-converted-space"/>
          <w:rFonts w:ascii="Roboto" w:eastAsia="Times New Roman" w:hAnsi="Roboto"/>
          <w:color w:val="212121"/>
          <w:sz w:val="23"/>
          <w:szCs w:val="23"/>
          <w:shd w:val="clear" w:color="auto" w:fill="EEEEEE"/>
        </w:rPr>
        <w:t> </w:t>
      </w:r>
      <w:r>
        <w:rPr>
          <w:rFonts w:eastAsia="Times New Roman"/>
        </w:rPr>
        <w:t>warfarin</w:t>
      </w:r>
      <w:r>
        <w:rPr>
          <w:rFonts w:ascii="Roboto" w:eastAsia="Times New Roman" w:hAnsi="Roboto"/>
          <w:color w:val="212121"/>
          <w:sz w:val="23"/>
          <w:szCs w:val="23"/>
          <w:shd w:val="clear" w:color="auto" w:fill="EEEEEE"/>
        </w:rPr>
        <w:t>. In stable patients, avoid frequent dose adjustment e.g., more frequently than every 4 days.</w:t>
      </w:r>
    </w:p>
    <w:p w14:paraId="3B4821AB" w14:textId="77777777" w:rsidR="007F6BB9" w:rsidRDefault="007F6BB9">
      <w:pPr>
        <w:pStyle w:val="bodytextbold"/>
        <w:shd w:val="clear" w:color="auto" w:fill="EEEEEE"/>
        <w:spacing w:before="0" w:beforeAutospacing="0" w:after="255" w:afterAutospacing="0"/>
        <w:divId w:val="2098478052"/>
        <w:rPr>
          <w:rFonts w:ascii="Roboto" w:hAnsi="Roboto"/>
          <w:b/>
          <w:bCs/>
          <w:color w:val="212121"/>
          <w:sz w:val="23"/>
          <w:szCs w:val="23"/>
        </w:rPr>
      </w:pPr>
      <w:r>
        <w:rPr>
          <w:rFonts w:ascii="Roboto" w:hAnsi="Roboto"/>
          <w:b/>
          <w:bCs/>
          <w:color w:val="212121"/>
          <w:sz w:val="23"/>
          <w:szCs w:val="23"/>
        </w:rPr>
        <w:lastRenderedPageBreak/>
        <w:t>Dose adjustment</w:t>
      </w:r>
      <w:r>
        <w:rPr>
          <w:rStyle w:val="apple-converted-space"/>
          <w:rFonts w:ascii="Roboto" w:hAnsi="Roboto"/>
          <w:b/>
          <w:bCs/>
          <w:color w:val="212121"/>
          <w:sz w:val="23"/>
          <w:szCs w:val="23"/>
        </w:rPr>
        <w:t> </w:t>
      </w:r>
    </w:p>
    <w:p w14:paraId="5940839F" w14:textId="77777777" w:rsidR="007F6BB9" w:rsidRDefault="007F6BB9">
      <w:pPr>
        <w:pStyle w:val="bodytext"/>
        <w:shd w:val="clear" w:color="auto" w:fill="EEEEEE"/>
        <w:spacing w:before="0" w:beforeAutospacing="0" w:after="255" w:afterAutospacing="0"/>
        <w:divId w:val="2098478052"/>
        <w:rPr>
          <w:rFonts w:ascii="Roboto" w:hAnsi="Roboto"/>
          <w:color w:val="212121"/>
          <w:sz w:val="23"/>
          <w:szCs w:val="23"/>
        </w:rPr>
      </w:pPr>
      <w:r>
        <w:rPr>
          <w:rFonts w:ascii="Roboto" w:hAnsi="Roboto"/>
          <w:color w:val="212121"/>
          <w:sz w:val="23"/>
          <w:szCs w:val="23"/>
        </w:rPr>
        <w:t>Changes in</w:t>
      </w:r>
      <w:r>
        <w:rPr>
          <w:rStyle w:val="apple-converted-space"/>
          <w:rFonts w:ascii="Roboto" w:hAnsi="Roboto"/>
          <w:color w:val="212121"/>
          <w:sz w:val="23"/>
          <w:szCs w:val="23"/>
        </w:rPr>
        <w:t> </w:t>
      </w:r>
      <w:r>
        <w:rPr>
          <w:rFonts w:ascii="Roboto" w:hAnsi="Roboto"/>
          <w:color w:val="212121"/>
          <w:sz w:val="23"/>
          <w:szCs w:val="23"/>
        </w:rPr>
        <w:t>warfarin</w:t>
      </w:r>
      <w:r>
        <w:rPr>
          <w:rStyle w:val="apple-converted-space"/>
          <w:rFonts w:ascii="Roboto" w:hAnsi="Roboto"/>
          <w:color w:val="212121"/>
          <w:sz w:val="23"/>
          <w:szCs w:val="23"/>
        </w:rPr>
        <w:t> </w:t>
      </w:r>
      <w:r>
        <w:rPr>
          <w:rFonts w:ascii="Roboto" w:hAnsi="Roboto"/>
          <w:color w:val="212121"/>
          <w:sz w:val="23"/>
          <w:szCs w:val="23"/>
        </w:rPr>
        <w:t>dosage may take several days to affect INR. Therefore, frequent dosage adjustment (less than 4- to 5-day intervals) is not recommended.</w:t>
      </w:r>
    </w:p>
    <w:p w14:paraId="1B06572F" w14:textId="77777777" w:rsidR="007F6BB9" w:rsidRDefault="007F6BB9">
      <w:pPr>
        <w:pStyle w:val="bodytext"/>
        <w:shd w:val="clear" w:color="auto" w:fill="EEEEEE"/>
        <w:spacing w:before="0" w:beforeAutospacing="0" w:after="255" w:afterAutospacing="0"/>
        <w:divId w:val="2098478052"/>
        <w:rPr>
          <w:rFonts w:ascii="Roboto" w:hAnsi="Roboto"/>
          <w:color w:val="212121"/>
          <w:sz w:val="23"/>
          <w:szCs w:val="23"/>
        </w:rPr>
      </w:pPr>
      <w:r>
        <w:rPr>
          <w:rFonts w:ascii="Roboto" w:hAnsi="Roboto"/>
          <w:color w:val="212121"/>
          <w:sz w:val="23"/>
          <w:szCs w:val="23"/>
        </w:rPr>
        <w:t>Adjustments detailed in the table below may need to be modified according to:</w:t>
      </w:r>
    </w:p>
    <w:p w14:paraId="5D4B798B" w14:textId="77777777" w:rsidR="007F6BB9" w:rsidRDefault="007F6BB9" w:rsidP="007F6BB9">
      <w:pPr>
        <w:pStyle w:val="listbullet"/>
        <w:numPr>
          <w:ilvl w:val="0"/>
          <w:numId w:val="10"/>
        </w:numPr>
        <w:shd w:val="clear" w:color="auto" w:fill="EEEEEE"/>
        <w:spacing w:before="0" w:beforeAutospacing="0" w:after="180" w:afterAutospacing="0"/>
        <w:ind w:left="1020"/>
        <w:divId w:val="2098478052"/>
        <w:rPr>
          <w:rFonts w:ascii="Roboto" w:eastAsia="Times New Roman" w:hAnsi="Roboto"/>
          <w:color w:val="212121"/>
          <w:sz w:val="23"/>
          <w:szCs w:val="23"/>
        </w:rPr>
      </w:pPr>
      <w:r>
        <w:rPr>
          <w:rFonts w:ascii="Roboto" w:eastAsia="Times New Roman" w:hAnsi="Roboto"/>
          <w:color w:val="212121"/>
          <w:sz w:val="23"/>
          <w:szCs w:val="23"/>
        </w:rPr>
        <w:t>the presence of concurrent illness.</w:t>
      </w:r>
    </w:p>
    <w:p w14:paraId="3382B0AC" w14:textId="77777777" w:rsidR="007F6BB9" w:rsidRDefault="007F6BB9" w:rsidP="007F6BB9">
      <w:pPr>
        <w:pStyle w:val="listbullet"/>
        <w:numPr>
          <w:ilvl w:val="0"/>
          <w:numId w:val="10"/>
        </w:numPr>
        <w:shd w:val="clear" w:color="auto" w:fill="EEEEEE"/>
        <w:spacing w:before="0" w:beforeAutospacing="0" w:after="180" w:afterAutospacing="0"/>
        <w:ind w:left="1020"/>
        <w:divId w:val="2098478052"/>
        <w:rPr>
          <w:rFonts w:ascii="Roboto" w:eastAsia="Times New Roman" w:hAnsi="Roboto"/>
          <w:color w:val="212121"/>
          <w:sz w:val="23"/>
          <w:szCs w:val="23"/>
        </w:rPr>
      </w:pPr>
      <w:r>
        <w:rPr>
          <w:rFonts w:ascii="Roboto" w:eastAsia="Times New Roman" w:hAnsi="Roboto"/>
          <w:color w:val="212121"/>
          <w:sz w:val="23"/>
          <w:szCs w:val="23"/>
        </w:rPr>
        <w:t>the target INR.</w:t>
      </w:r>
    </w:p>
    <w:p w14:paraId="37C094E5" w14:textId="77777777" w:rsidR="007F6BB9" w:rsidRDefault="007F6BB9">
      <w:pPr>
        <w:pStyle w:val="bodytext"/>
        <w:shd w:val="clear" w:color="auto" w:fill="EEEEEE"/>
        <w:spacing w:before="0" w:beforeAutospacing="0" w:after="255" w:afterAutospacing="0"/>
        <w:divId w:val="2098478052"/>
        <w:rPr>
          <w:rFonts w:ascii="Roboto" w:hAnsi="Roboto"/>
          <w:color w:val="212121"/>
          <w:sz w:val="23"/>
          <w:szCs w:val="23"/>
        </w:rPr>
      </w:pPr>
      <w:r>
        <w:rPr>
          <w:rFonts w:ascii="Roboto" w:hAnsi="Roboto"/>
          <w:color w:val="212121"/>
          <w:sz w:val="23"/>
          <w:szCs w:val="23"/>
        </w:rPr>
        <w:t>For those patients who have their medications blister packed or are in rest homes, contact the pharmacy</w:t>
      </w:r>
      <w:r>
        <w:rPr>
          <w:rStyle w:val="apple-converted-space"/>
          <w:rFonts w:ascii="Roboto" w:hAnsi="Roboto"/>
          <w:color w:val="212121"/>
          <w:sz w:val="23"/>
          <w:szCs w:val="23"/>
        </w:rPr>
        <w:t> </w:t>
      </w:r>
      <w:r>
        <w:rPr>
          <w:rFonts w:ascii="Roboto" w:hAnsi="Roboto"/>
          <w:color w:val="212121"/>
          <w:sz w:val="23"/>
          <w:szCs w:val="23"/>
        </w:rPr>
        <w:t>and</w:t>
      </w:r>
      <w:r>
        <w:rPr>
          <w:rStyle w:val="apple-converted-space"/>
          <w:rFonts w:ascii="Roboto" w:hAnsi="Roboto"/>
          <w:color w:val="212121"/>
          <w:sz w:val="23"/>
          <w:szCs w:val="23"/>
        </w:rPr>
        <w:t> </w:t>
      </w:r>
      <w:r>
        <w:rPr>
          <w:rFonts w:ascii="Roboto" w:hAnsi="Roboto"/>
          <w:color w:val="212121"/>
          <w:sz w:val="23"/>
          <w:szCs w:val="23"/>
        </w:rPr>
        <w:t>rest home to discuss the best way to efficiently manage dose alterations.</w:t>
      </w:r>
    </w:p>
    <w:tbl>
      <w:tblPr>
        <w:tblW w:w="5000" w:type="pct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386"/>
        <w:gridCol w:w="1386"/>
        <w:gridCol w:w="6238"/>
      </w:tblGrid>
      <w:tr w:rsidR="00951319" w:rsidRPr="00951319" w14:paraId="4685AE46" w14:textId="77777777">
        <w:trPr>
          <w:divId w:val="1701129709"/>
        </w:trPr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5F5F5"/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1B9DDA86" w14:textId="77777777" w:rsidR="00951319" w:rsidRPr="00951319" w:rsidRDefault="00951319" w:rsidP="00951319">
            <w:pPr>
              <w:spacing w:before="120" w:after="180"/>
              <w:jc w:val="center"/>
              <w:rPr>
                <w:rFonts w:ascii="Roboto" w:hAnsi="Roboto" w:cs="Times New Roman"/>
                <w:color w:val="3F3F3F"/>
                <w:sz w:val="24"/>
                <w:szCs w:val="24"/>
              </w:rPr>
            </w:pPr>
            <w:r w:rsidRPr="00951319">
              <w:rPr>
                <w:rFonts w:ascii="Roboto" w:hAnsi="Roboto" w:cs="Times New Roman"/>
                <w:color w:val="3F3F3F"/>
                <w:sz w:val="24"/>
                <w:szCs w:val="24"/>
              </w:rPr>
              <w:t>INR</w:t>
            </w:r>
          </w:p>
          <w:p w14:paraId="11D4F656" w14:textId="77777777" w:rsidR="00951319" w:rsidRPr="00951319" w:rsidRDefault="00951319" w:rsidP="00951319">
            <w:pPr>
              <w:spacing w:before="120" w:after="180"/>
              <w:jc w:val="center"/>
              <w:rPr>
                <w:rFonts w:ascii="Roboto" w:hAnsi="Roboto" w:cs="Times New Roman"/>
                <w:color w:val="3F3F3F"/>
                <w:sz w:val="24"/>
                <w:szCs w:val="24"/>
              </w:rPr>
            </w:pPr>
            <w:r w:rsidRPr="00951319">
              <w:rPr>
                <w:rFonts w:ascii="Roboto" w:hAnsi="Roboto" w:cs="Times New Roman"/>
                <w:color w:val="3F3F3F"/>
                <w:sz w:val="24"/>
                <w:szCs w:val="24"/>
              </w:rPr>
              <w:t>Target</w:t>
            </w:r>
          </w:p>
          <w:p w14:paraId="31FB08CD" w14:textId="77777777" w:rsidR="00951319" w:rsidRPr="00951319" w:rsidRDefault="00951319" w:rsidP="00951319">
            <w:pPr>
              <w:spacing w:before="120" w:after="180"/>
              <w:jc w:val="center"/>
              <w:rPr>
                <w:rFonts w:ascii="Roboto" w:hAnsi="Roboto" w:cs="Times New Roman"/>
                <w:color w:val="3F3F3F"/>
                <w:sz w:val="24"/>
                <w:szCs w:val="24"/>
              </w:rPr>
            </w:pPr>
            <w:r w:rsidRPr="00951319">
              <w:rPr>
                <w:rFonts w:ascii="Roboto" w:hAnsi="Roboto" w:cs="Times New Roman"/>
                <w:color w:val="3F3F3F"/>
                <w:sz w:val="24"/>
                <w:szCs w:val="24"/>
              </w:rPr>
              <w:t>2.0 to 3.0</w:t>
            </w:r>
          </w:p>
        </w:tc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5F5F5"/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068D65DC" w14:textId="77777777" w:rsidR="00951319" w:rsidRPr="00951319" w:rsidRDefault="00951319" w:rsidP="00951319">
            <w:pPr>
              <w:spacing w:before="120" w:after="180"/>
              <w:jc w:val="center"/>
              <w:rPr>
                <w:rFonts w:ascii="Roboto" w:hAnsi="Roboto" w:cs="Times New Roman"/>
                <w:color w:val="3F3F3F"/>
                <w:sz w:val="24"/>
                <w:szCs w:val="24"/>
              </w:rPr>
            </w:pPr>
            <w:r w:rsidRPr="00951319">
              <w:rPr>
                <w:rFonts w:ascii="Roboto" w:hAnsi="Roboto" w:cs="Times New Roman"/>
                <w:color w:val="3F3F3F"/>
                <w:sz w:val="24"/>
                <w:szCs w:val="24"/>
              </w:rPr>
              <w:t>INR</w:t>
            </w:r>
          </w:p>
          <w:p w14:paraId="7989640A" w14:textId="77777777" w:rsidR="00951319" w:rsidRPr="00951319" w:rsidRDefault="00951319" w:rsidP="00951319">
            <w:pPr>
              <w:spacing w:before="120" w:after="180"/>
              <w:jc w:val="center"/>
              <w:rPr>
                <w:rFonts w:ascii="Roboto" w:hAnsi="Roboto" w:cs="Times New Roman"/>
                <w:color w:val="3F3F3F"/>
                <w:sz w:val="24"/>
                <w:szCs w:val="24"/>
              </w:rPr>
            </w:pPr>
            <w:r w:rsidRPr="00951319">
              <w:rPr>
                <w:rFonts w:ascii="Roboto" w:hAnsi="Roboto" w:cs="Times New Roman"/>
                <w:color w:val="3F3F3F"/>
                <w:sz w:val="24"/>
                <w:szCs w:val="24"/>
              </w:rPr>
              <w:t>Target</w:t>
            </w:r>
          </w:p>
          <w:p w14:paraId="26CFB98A" w14:textId="77777777" w:rsidR="00951319" w:rsidRPr="00951319" w:rsidRDefault="00951319" w:rsidP="00951319">
            <w:pPr>
              <w:spacing w:before="120" w:after="180"/>
              <w:jc w:val="center"/>
              <w:rPr>
                <w:rFonts w:ascii="Roboto" w:hAnsi="Roboto" w:cs="Times New Roman"/>
                <w:color w:val="3F3F3F"/>
                <w:sz w:val="24"/>
                <w:szCs w:val="24"/>
              </w:rPr>
            </w:pPr>
            <w:r w:rsidRPr="00951319">
              <w:rPr>
                <w:rFonts w:ascii="Roboto" w:hAnsi="Roboto" w:cs="Times New Roman"/>
                <w:color w:val="3F3F3F"/>
                <w:sz w:val="24"/>
                <w:szCs w:val="24"/>
              </w:rPr>
              <w:t>2.5 to 3.5</w:t>
            </w:r>
          </w:p>
        </w:tc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shd w:val="clear" w:color="auto" w:fill="F5F5F5"/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0A0D97D0" w14:textId="77777777" w:rsidR="00951319" w:rsidRPr="00951319" w:rsidRDefault="00951319" w:rsidP="00951319">
            <w:pPr>
              <w:spacing w:before="120" w:after="180"/>
              <w:jc w:val="center"/>
              <w:rPr>
                <w:rFonts w:ascii="Roboto" w:hAnsi="Roboto" w:cs="Times New Roman"/>
                <w:color w:val="3F3F3F"/>
                <w:sz w:val="24"/>
                <w:szCs w:val="24"/>
              </w:rPr>
            </w:pPr>
            <w:r w:rsidRPr="00951319">
              <w:rPr>
                <w:rFonts w:ascii="Roboto" w:hAnsi="Roboto" w:cs="Times New Roman"/>
                <w:color w:val="3F3F3F"/>
                <w:sz w:val="24"/>
                <w:szCs w:val="24"/>
              </w:rPr>
              <w:t>Dose adjustment</w:t>
            </w:r>
          </w:p>
        </w:tc>
      </w:tr>
      <w:tr w:rsidR="00951319" w:rsidRPr="00951319" w14:paraId="26F721EE" w14:textId="77777777">
        <w:trPr>
          <w:divId w:val="1701129709"/>
        </w:trPr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117B979D" w14:textId="77777777" w:rsidR="00951319" w:rsidRPr="00951319" w:rsidRDefault="00951319" w:rsidP="00951319">
            <w:pPr>
              <w:spacing w:before="120" w:after="180"/>
              <w:jc w:val="center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51319">
              <w:rPr>
                <w:rFonts w:ascii="Roboto" w:hAnsi="Roboto" w:cs="Times New Roman"/>
                <w:color w:val="212121"/>
                <w:sz w:val="23"/>
                <w:szCs w:val="23"/>
              </w:rPr>
              <w:t>Less than 1.5</w:t>
            </w:r>
          </w:p>
        </w:tc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4D740FE4" w14:textId="77777777" w:rsidR="00951319" w:rsidRPr="00951319" w:rsidRDefault="00951319" w:rsidP="00951319">
            <w:pPr>
              <w:spacing w:before="120" w:after="180"/>
              <w:jc w:val="center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51319">
              <w:rPr>
                <w:rFonts w:ascii="Roboto" w:hAnsi="Roboto" w:cs="Times New Roman"/>
                <w:color w:val="212121"/>
                <w:sz w:val="23"/>
                <w:szCs w:val="23"/>
              </w:rPr>
              <w:t>Less than 2</w:t>
            </w:r>
          </w:p>
        </w:tc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78927DF5" w14:textId="77777777" w:rsidR="00951319" w:rsidRPr="00951319" w:rsidRDefault="00951319" w:rsidP="00951319">
            <w:pPr>
              <w:spacing w:before="120" w:after="180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51319">
              <w:rPr>
                <w:rFonts w:ascii="Roboto" w:hAnsi="Roboto" w:cs="Times New Roman"/>
                <w:color w:val="212121"/>
                <w:sz w:val="23"/>
                <w:szCs w:val="23"/>
              </w:rPr>
              <w:t>Increase weekly dose by 20% and give one time top-up additional amount equal to 20% of weekly dose.</w:t>
            </w:r>
          </w:p>
        </w:tc>
      </w:tr>
      <w:tr w:rsidR="00951319" w:rsidRPr="00951319" w14:paraId="163CA69B" w14:textId="77777777">
        <w:trPr>
          <w:divId w:val="1701129709"/>
        </w:trPr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71DD8019" w14:textId="77777777" w:rsidR="00951319" w:rsidRPr="00951319" w:rsidRDefault="00951319" w:rsidP="00951319">
            <w:pPr>
              <w:spacing w:before="120" w:after="180"/>
              <w:jc w:val="center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51319">
              <w:rPr>
                <w:rFonts w:ascii="Roboto" w:hAnsi="Roboto" w:cs="Times New Roman"/>
                <w:color w:val="212121"/>
                <w:sz w:val="23"/>
                <w:szCs w:val="23"/>
              </w:rPr>
              <w:t>1.6 to 1.9</w:t>
            </w:r>
          </w:p>
        </w:tc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59883AB6" w14:textId="77777777" w:rsidR="00951319" w:rsidRPr="00951319" w:rsidRDefault="00951319" w:rsidP="00951319">
            <w:pPr>
              <w:spacing w:before="120" w:after="180"/>
              <w:jc w:val="center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51319">
              <w:rPr>
                <w:rFonts w:ascii="Roboto" w:hAnsi="Roboto" w:cs="Times New Roman"/>
                <w:color w:val="212121"/>
                <w:sz w:val="23"/>
                <w:szCs w:val="23"/>
              </w:rPr>
              <w:t>2.0 to 2.4</w:t>
            </w:r>
          </w:p>
        </w:tc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5A414D3B" w14:textId="77777777" w:rsidR="00951319" w:rsidRPr="00951319" w:rsidRDefault="00951319" w:rsidP="00951319">
            <w:pPr>
              <w:spacing w:before="120" w:after="180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51319">
              <w:rPr>
                <w:rFonts w:ascii="Roboto" w:hAnsi="Roboto" w:cs="Times New Roman"/>
                <w:color w:val="212121"/>
                <w:sz w:val="23"/>
                <w:szCs w:val="23"/>
              </w:rPr>
              <w:t>Increase weekly dose by 10%.</w:t>
            </w:r>
          </w:p>
        </w:tc>
      </w:tr>
      <w:tr w:rsidR="00951319" w:rsidRPr="00951319" w14:paraId="675442C3" w14:textId="77777777">
        <w:trPr>
          <w:divId w:val="1701129709"/>
        </w:trPr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2FD03771" w14:textId="77777777" w:rsidR="00951319" w:rsidRPr="00951319" w:rsidRDefault="00951319" w:rsidP="00951319">
            <w:pPr>
              <w:spacing w:before="120" w:after="180"/>
              <w:jc w:val="center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51319">
              <w:rPr>
                <w:rFonts w:ascii="Roboto" w:hAnsi="Roboto" w:cs="Times New Roman"/>
                <w:color w:val="212121"/>
                <w:sz w:val="23"/>
                <w:szCs w:val="23"/>
              </w:rPr>
              <w:t>2 to 3</w:t>
            </w:r>
          </w:p>
        </w:tc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61EBA731" w14:textId="77777777" w:rsidR="00951319" w:rsidRPr="00951319" w:rsidRDefault="00951319" w:rsidP="00951319">
            <w:pPr>
              <w:spacing w:before="120" w:after="180"/>
              <w:jc w:val="center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51319">
              <w:rPr>
                <w:rFonts w:ascii="Roboto" w:hAnsi="Roboto" w:cs="Times New Roman"/>
                <w:color w:val="212121"/>
                <w:sz w:val="23"/>
                <w:szCs w:val="23"/>
              </w:rPr>
              <w:t>2.5 to 3.5</w:t>
            </w:r>
          </w:p>
        </w:tc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2879E509" w14:textId="77777777" w:rsidR="00951319" w:rsidRPr="00951319" w:rsidRDefault="00951319" w:rsidP="00951319">
            <w:pPr>
              <w:spacing w:before="120" w:after="180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51319">
              <w:rPr>
                <w:rFonts w:ascii="Roboto" w:hAnsi="Roboto" w:cs="Times New Roman"/>
                <w:color w:val="212121"/>
                <w:sz w:val="23"/>
                <w:szCs w:val="23"/>
              </w:rPr>
              <w:t>No change.</w:t>
            </w:r>
          </w:p>
        </w:tc>
      </w:tr>
      <w:tr w:rsidR="00951319" w:rsidRPr="00951319" w14:paraId="1C6AEE5B" w14:textId="77777777">
        <w:trPr>
          <w:divId w:val="1701129709"/>
        </w:trPr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26923165" w14:textId="77777777" w:rsidR="00951319" w:rsidRPr="00951319" w:rsidRDefault="00951319" w:rsidP="00951319">
            <w:pPr>
              <w:spacing w:before="120" w:after="180"/>
              <w:jc w:val="center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51319">
              <w:rPr>
                <w:rFonts w:ascii="Roboto" w:hAnsi="Roboto" w:cs="Times New Roman"/>
                <w:color w:val="212121"/>
                <w:sz w:val="23"/>
                <w:szCs w:val="23"/>
              </w:rPr>
              <w:t>3.1 to 3.5</w:t>
            </w:r>
          </w:p>
        </w:tc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517DC183" w14:textId="77777777" w:rsidR="00951319" w:rsidRPr="00951319" w:rsidRDefault="00951319" w:rsidP="00951319">
            <w:pPr>
              <w:spacing w:before="120" w:after="180"/>
              <w:jc w:val="center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51319">
              <w:rPr>
                <w:rFonts w:ascii="Roboto" w:hAnsi="Roboto" w:cs="Times New Roman"/>
                <w:color w:val="212121"/>
                <w:sz w:val="23"/>
                <w:szCs w:val="23"/>
              </w:rPr>
              <w:t>3.6 to 4.0</w:t>
            </w:r>
          </w:p>
        </w:tc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6075A5EA" w14:textId="77777777" w:rsidR="00951319" w:rsidRPr="00951319" w:rsidRDefault="00951319" w:rsidP="00951319">
            <w:pPr>
              <w:spacing w:before="120" w:after="180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51319">
              <w:rPr>
                <w:rFonts w:ascii="Roboto" w:hAnsi="Roboto" w:cs="Times New Roman"/>
                <w:color w:val="212121"/>
                <w:sz w:val="23"/>
                <w:szCs w:val="23"/>
              </w:rPr>
              <w:t>No change. Recheck in one week. </w:t>
            </w:r>
            <w:r w:rsidRPr="00951319">
              <w:rPr>
                <w:rFonts w:ascii="Roboto" w:hAnsi="Roboto" w:cs="Times New Roman"/>
                <w:color w:val="212121"/>
                <w:sz w:val="23"/>
                <w:szCs w:val="23"/>
              </w:rPr>
              <w:br/>
              <w:t>If persistent, decrease weekly dose by 10 to 20%.</w:t>
            </w:r>
          </w:p>
        </w:tc>
      </w:tr>
      <w:tr w:rsidR="00951319" w:rsidRPr="00951319" w14:paraId="76D5E5FF" w14:textId="77777777">
        <w:trPr>
          <w:divId w:val="1701129709"/>
        </w:trPr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4D46E58F" w14:textId="77777777" w:rsidR="00951319" w:rsidRPr="00951319" w:rsidRDefault="00951319" w:rsidP="00951319">
            <w:pPr>
              <w:spacing w:before="120" w:after="180"/>
              <w:jc w:val="center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51319">
              <w:rPr>
                <w:rFonts w:ascii="Roboto" w:hAnsi="Roboto" w:cs="Times New Roman"/>
                <w:color w:val="212121"/>
                <w:sz w:val="23"/>
                <w:szCs w:val="23"/>
              </w:rPr>
              <w:t>3.6 to 5</w:t>
            </w:r>
          </w:p>
        </w:tc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33E18A3F" w14:textId="77777777" w:rsidR="00951319" w:rsidRPr="00951319" w:rsidRDefault="00951319" w:rsidP="00951319">
            <w:pPr>
              <w:spacing w:before="120" w:after="180"/>
              <w:jc w:val="center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51319">
              <w:rPr>
                <w:rFonts w:ascii="Roboto" w:hAnsi="Roboto" w:cs="Times New Roman"/>
                <w:color w:val="212121"/>
                <w:sz w:val="23"/>
                <w:szCs w:val="23"/>
              </w:rPr>
              <w:t>4.1 to 5.0</w:t>
            </w:r>
          </w:p>
        </w:tc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6E8170EB" w14:textId="77777777" w:rsidR="00951319" w:rsidRPr="00951319" w:rsidRDefault="00951319" w:rsidP="00951319">
            <w:pPr>
              <w:spacing w:before="120" w:after="180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51319">
              <w:rPr>
                <w:rFonts w:ascii="Roboto" w:hAnsi="Roboto" w:cs="Times New Roman"/>
                <w:color w:val="212121"/>
                <w:sz w:val="23"/>
                <w:szCs w:val="23"/>
              </w:rPr>
              <w:t>Omit 1 dose. Decrease weekly dose by 10 to 20% and recheck in 2 to 5 days.</w:t>
            </w:r>
          </w:p>
        </w:tc>
      </w:tr>
      <w:tr w:rsidR="00951319" w:rsidRPr="00951319" w14:paraId="22AFE242" w14:textId="77777777">
        <w:trPr>
          <w:divId w:val="1701129709"/>
        </w:trPr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06E566F2" w14:textId="77777777" w:rsidR="00951319" w:rsidRPr="00951319" w:rsidRDefault="00951319" w:rsidP="00951319">
            <w:pPr>
              <w:spacing w:before="120" w:after="180"/>
              <w:jc w:val="center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51319">
              <w:rPr>
                <w:rFonts w:ascii="Roboto" w:hAnsi="Roboto" w:cs="Times New Roman"/>
                <w:color w:val="212121"/>
                <w:sz w:val="23"/>
                <w:szCs w:val="23"/>
              </w:rPr>
              <w:t>Greater than 5</w:t>
            </w:r>
          </w:p>
        </w:tc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29AAF668" w14:textId="77777777" w:rsidR="00951319" w:rsidRPr="00951319" w:rsidRDefault="00951319" w:rsidP="00951319">
            <w:pPr>
              <w:spacing w:before="120" w:after="180"/>
              <w:jc w:val="center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51319">
              <w:rPr>
                <w:rFonts w:ascii="Roboto" w:hAnsi="Roboto" w:cs="Times New Roman"/>
                <w:color w:val="212121"/>
                <w:sz w:val="23"/>
                <w:szCs w:val="23"/>
              </w:rPr>
              <w:t>Greater than 5</w:t>
            </w:r>
          </w:p>
        </w:tc>
        <w:tc>
          <w:tcPr>
            <w:tcW w:w="0" w:type="auto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tcMar>
              <w:top w:w="40" w:type="dxa"/>
              <w:left w:w="150" w:type="dxa"/>
              <w:bottom w:w="40" w:type="dxa"/>
              <w:right w:w="150" w:type="dxa"/>
            </w:tcMar>
            <w:hideMark/>
          </w:tcPr>
          <w:p w14:paraId="1EBBB8DE" w14:textId="77777777" w:rsidR="00951319" w:rsidRPr="00951319" w:rsidRDefault="00951319" w:rsidP="00951319">
            <w:pPr>
              <w:spacing w:before="120" w:after="180"/>
              <w:rPr>
                <w:rFonts w:ascii="Roboto" w:hAnsi="Roboto" w:cs="Times New Roman"/>
                <w:color w:val="212121"/>
                <w:sz w:val="23"/>
                <w:szCs w:val="23"/>
              </w:rPr>
            </w:pPr>
            <w:r w:rsidRPr="00951319">
              <w:rPr>
                <w:rFonts w:ascii="Roboto" w:hAnsi="Roboto" w:cs="Times New Roman"/>
                <w:color w:val="212121"/>
                <w:sz w:val="23"/>
                <w:szCs w:val="23"/>
              </w:rPr>
              <w:t>See </w:t>
            </w:r>
            <w:hyperlink r:id="rId9" w:tgtFrame="_self" w:tooltip="Warfarin Over-anticoagulation" w:history="1">
              <w:r w:rsidRPr="00951319">
                <w:rPr>
                  <w:rFonts w:ascii="Roboto" w:hAnsi="Roboto" w:cs="Times New Roman"/>
                  <w:color w:val="398ECC"/>
                  <w:sz w:val="23"/>
                  <w:szCs w:val="23"/>
                </w:rPr>
                <w:t>Warfarin Over-anticoagulation or Bleeding</w:t>
              </w:r>
            </w:hyperlink>
            <w:r w:rsidRPr="00951319">
              <w:rPr>
                <w:rFonts w:ascii="Roboto" w:hAnsi="Roboto" w:cs="Times New Roman"/>
                <w:color w:val="212121"/>
                <w:sz w:val="23"/>
                <w:szCs w:val="23"/>
              </w:rPr>
              <w:t>.</w:t>
            </w:r>
          </w:p>
        </w:tc>
      </w:tr>
    </w:tbl>
    <w:p w14:paraId="320395E1" w14:textId="77777777" w:rsidR="007F6BB9" w:rsidRDefault="007F6BB9" w:rsidP="007F14B6">
      <w:pPr>
        <w:rPr>
          <w:color w:val="FF0000"/>
          <w:lang w:val="en-AU"/>
        </w:rPr>
      </w:pPr>
    </w:p>
    <w:p w14:paraId="784DF070" w14:textId="610DFD16" w:rsidR="00A95FD7" w:rsidRDefault="00A95FD7" w:rsidP="007F14B6">
      <w:pPr>
        <w:rPr>
          <w:color w:val="FF0000"/>
          <w:lang w:val="en-AU"/>
        </w:rPr>
      </w:pPr>
    </w:p>
    <w:p w14:paraId="003C3E8C" w14:textId="74264207" w:rsidR="00A95FD7" w:rsidRDefault="00A95FD7" w:rsidP="007F14B6">
      <w:pPr>
        <w:rPr>
          <w:color w:val="FF0000"/>
          <w:lang w:val="en-AU"/>
        </w:rPr>
      </w:pPr>
      <w:r>
        <w:rPr>
          <w:color w:val="FF0000"/>
          <w:lang w:val="en-AU"/>
        </w:rPr>
        <w:t>5</w:t>
      </w:r>
    </w:p>
    <w:p w14:paraId="7ABFFB47" w14:textId="3217D2FF" w:rsidR="00751F1E" w:rsidRDefault="00751F1E" w:rsidP="007F14B6">
      <w:pPr>
        <w:rPr>
          <w:color w:val="FF0000"/>
          <w:lang w:val="en-AU"/>
        </w:rPr>
      </w:pPr>
    </w:p>
    <w:p w14:paraId="2F5B17E1" w14:textId="77777777" w:rsidR="00772B1E" w:rsidRDefault="00772B1E" w:rsidP="00772B1E">
      <w:pPr>
        <w:pStyle w:val="listnumber"/>
        <w:numPr>
          <w:ilvl w:val="0"/>
          <w:numId w:val="11"/>
        </w:numPr>
        <w:shd w:val="clear" w:color="auto" w:fill="EEEEEE"/>
        <w:spacing w:before="0" w:beforeAutospacing="0" w:after="180" w:afterAutospacing="0"/>
        <w:ind w:left="750"/>
        <w:divId w:val="328102717"/>
        <w:rPr>
          <w:rFonts w:ascii="Roboto" w:eastAsia="Times New Roman" w:hAnsi="Roboto"/>
          <w:color w:val="212121"/>
          <w:sz w:val="23"/>
          <w:szCs w:val="23"/>
        </w:rPr>
      </w:pPr>
      <w:r>
        <w:rPr>
          <w:rFonts w:ascii="Roboto" w:eastAsia="Times New Roman" w:hAnsi="Roboto"/>
          <w:color w:val="212121"/>
          <w:sz w:val="23"/>
          <w:szCs w:val="23"/>
        </w:rPr>
        <w:t>If</w:t>
      </w:r>
      <w:r>
        <w:rPr>
          <w:rStyle w:val="apple-converted-space"/>
          <w:rFonts w:ascii="Roboto" w:eastAsia="Times New Roman" w:hAnsi="Roboto"/>
          <w:color w:val="212121"/>
          <w:sz w:val="23"/>
          <w:szCs w:val="23"/>
        </w:rPr>
        <w:t> </w:t>
      </w:r>
      <w:r>
        <w:rPr>
          <w:rFonts w:ascii="Roboto" w:eastAsia="Times New Roman" w:hAnsi="Roboto"/>
          <w:noProof/>
          <w:color w:val="212121"/>
          <w:sz w:val="23"/>
          <w:szCs w:val="23"/>
        </w:rPr>
        <w:drawing>
          <wp:inline distT="0" distB="0" distL="0" distR="0" wp14:anchorId="6D06A59E" wp14:editId="330C98E8">
            <wp:extent cx="304800" cy="1162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2819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/>
          <w:color w:val="212121"/>
          <w:sz w:val="23"/>
          <w:szCs w:val="23"/>
        </w:rPr>
        <w:t>starting</w:t>
      </w:r>
      <w:r>
        <w:rPr>
          <w:rStyle w:val="apple-converted-space"/>
          <w:rFonts w:ascii="Roboto" w:eastAsia="Times New Roman" w:hAnsi="Roboto"/>
          <w:color w:val="212121"/>
          <w:sz w:val="23"/>
          <w:szCs w:val="23"/>
        </w:rPr>
        <w:t> </w:t>
      </w:r>
      <w:r>
        <w:rPr>
          <w:rFonts w:ascii="Roboto" w:eastAsia="Times New Roman" w:hAnsi="Roboto"/>
          <w:color w:val="212121"/>
          <w:sz w:val="23"/>
          <w:szCs w:val="23"/>
        </w:rPr>
        <w:t>or stopping a medication, consider how it may affect INR.</w:t>
      </w:r>
    </w:p>
    <w:p w14:paraId="54AFE169" w14:textId="77777777" w:rsidR="00772B1E" w:rsidRDefault="00772B1E">
      <w:pPr>
        <w:pStyle w:val="bodytextbold"/>
        <w:shd w:val="clear" w:color="auto" w:fill="EEEEEE"/>
        <w:spacing w:before="0" w:beforeAutospacing="0" w:after="255" w:afterAutospacing="0"/>
        <w:ind w:left="750"/>
        <w:divId w:val="493956830"/>
        <w:rPr>
          <w:rFonts w:ascii="Roboto" w:hAnsi="Roboto"/>
          <w:b/>
          <w:bCs/>
          <w:color w:val="212121"/>
          <w:sz w:val="23"/>
          <w:szCs w:val="23"/>
        </w:rPr>
      </w:pPr>
      <w:r>
        <w:rPr>
          <w:rFonts w:ascii="Roboto" w:hAnsi="Roboto"/>
          <w:b/>
          <w:bCs/>
          <w:color w:val="212121"/>
          <w:sz w:val="23"/>
          <w:szCs w:val="23"/>
        </w:rPr>
        <w:t>Starting</w:t>
      </w:r>
      <w:r>
        <w:rPr>
          <w:rStyle w:val="apple-converted-space"/>
          <w:rFonts w:ascii="Roboto" w:hAnsi="Roboto"/>
          <w:b/>
          <w:bCs/>
          <w:color w:val="212121"/>
          <w:sz w:val="23"/>
          <w:szCs w:val="23"/>
        </w:rPr>
        <w:t> </w:t>
      </w:r>
      <w:r>
        <w:rPr>
          <w:rFonts w:ascii="Roboto" w:hAnsi="Roboto"/>
          <w:b/>
          <w:bCs/>
          <w:color w:val="212121"/>
          <w:sz w:val="23"/>
          <w:szCs w:val="23"/>
        </w:rPr>
        <w:t>or stopping medications</w:t>
      </w:r>
    </w:p>
    <w:p w14:paraId="7A676EB4" w14:textId="77777777" w:rsidR="00772B1E" w:rsidRDefault="00772B1E">
      <w:pPr>
        <w:pStyle w:val="bodytext"/>
        <w:shd w:val="clear" w:color="auto" w:fill="EEEEEE"/>
        <w:spacing w:before="0" w:beforeAutospacing="0" w:after="255" w:afterAutospacing="0"/>
        <w:ind w:left="750"/>
        <w:divId w:val="493956830"/>
        <w:rPr>
          <w:rFonts w:ascii="Roboto" w:hAnsi="Roboto"/>
          <w:color w:val="212121"/>
          <w:sz w:val="23"/>
          <w:szCs w:val="23"/>
        </w:rPr>
      </w:pPr>
      <w:r>
        <w:rPr>
          <w:rFonts w:ascii="Roboto" w:hAnsi="Roboto"/>
          <w:color w:val="212121"/>
          <w:sz w:val="23"/>
          <w:szCs w:val="23"/>
        </w:rPr>
        <w:t>If</w:t>
      </w:r>
      <w:r>
        <w:rPr>
          <w:rStyle w:val="apple-converted-space"/>
          <w:rFonts w:ascii="Roboto" w:hAnsi="Roboto"/>
          <w:color w:val="212121"/>
          <w:sz w:val="23"/>
          <w:szCs w:val="23"/>
        </w:rPr>
        <w:t> </w:t>
      </w:r>
      <w:r>
        <w:rPr>
          <w:rFonts w:ascii="Roboto" w:hAnsi="Roboto"/>
          <w:color w:val="212121"/>
          <w:sz w:val="23"/>
          <w:szCs w:val="23"/>
        </w:rPr>
        <w:t>starting</w:t>
      </w:r>
      <w:r>
        <w:rPr>
          <w:rStyle w:val="apple-converted-space"/>
          <w:rFonts w:ascii="Roboto" w:hAnsi="Roboto"/>
          <w:color w:val="212121"/>
          <w:sz w:val="23"/>
          <w:szCs w:val="23"/>
        </w:rPr>
        <w:t> </w:t>
      </w:r>
      <w:r>
        <w:rPr>
          <w:rFonts w:ascii="Roboto" w:hAnsi="Roboto"/>
          <w:color w:val="212121"/>
          <w:sz w:val="23"/>
          <w:szCs w:val="23"/>
        </w:rPr>
        <w:t>on a new medication, check INR 1 week after</w:t>
      </w:r>
      <w:r>
        <w:rPr>
          <w:rStyle w:val="apple-converted-space"/>
          <w:rFonts w:ascii="Roboto" w:hAnsi="Roboto"/>
          <w:color w:val="212121"/>
          <w:sz w:val="23"/>
          <w:szCs w:val="23"/>
        </w:rPr>
        <w:t> </w:t>
      </w:r>
      <w:r>
        <w:rPr>
          <w:rFonts w:ascii="Roboto" w:hAnsi="Roboto"/>
          <w:color w:val="212121"/>
          <w:sz w:val="23"/>
          <w:szCs w:val="23"/>
        </w:rPr>
        <w:t>starting</w:t>
      </w:r>
      <w:r>
        <w:rPr>
          <w:rStyle w:val="apple-converted-space"/>
          <w:rFonts w:ascii="Roboto" w:hAnsi="Roboto"/>
          <w:color w:val="212121"/>
          <w:sz w:val="23"/>
          <w:szCs w:val="23"/>
        </w:rPr>
        <w:t> </w:t>
      </w:r>
      <w:r>
        <w:rPr>
          <w:rFonts w:ascii="Roboto" w:hAnsi="Roboto"/>
          <w:color w:val="212121"/>
          <w:sz w:val="23"/>
          <w:szCs w:val="23"/>
        </w:rPr>
        <w:t>the new medication.</w:t>
      </w:r>
    </w:p>
    <w:p w14:paraId="6D0EEF5E" w14:textId="77777777" w:rsidR="00772B1E" w:rsidRDefault="00772B1E">
      <w:pPr>
        <w:pStyle w:val="bodytext"/>
        <w:shd w:val="clear" w:color="auto" w:fill="EEEEEE"/>
        <w:spacing w:before="0" w:beforeAutospacing="0" w:after="255" w:afterAutospacing="0"/>
        <w:ind w:left="750"/>
        <w:divId w:val="493956830"/>
        <w:rPr>
          <w:rFonts w:ascii="Roboto" w:hAnsi="Roboto"/>
          <w:color w:val="212121"/>
          <w:sz w:val="23"/>
          <w:szCs w:val="23"/>
        </w:rPr>
      </w:pPr>
      <w:r>
        <w:rPr>
          <w:rFonts w:ascii="Roboto" w:hAnsi="Roboto"/>
          <w:color w:val="212121"/>
          <w:sz w:val="23"/>
          <w:szCs w:val="23"/>
        </w:rPr>
        <w:t>Stopping a medication which interacts with</w:t>
      </w:r>
      <w:r>
        <w:rPr>
          <w:rStyle w:val="apple-converted-space"/>
          <w:rFonts w:ascii="Roboto" w:hAnsi="Roboto"/>
          <w:color w:val="212121"/>
          <w:sz w:val="23"/>
          <w:szCs w:val="23"/>
        </w:rPr>
        <w:t> </w:t>
      </w:r>
      <w:r>
        <w:rPr>
          <w:rFonts w:ascii="Roboto" w:hAnsi="Roboto"/>
          <w:color w:val="212121"/>
          <w:sz w:val="23"/>
          <w:szCs w:val="23"/>
        </w:rPr>
        <w:t>warfarin</w:t>
      </w:r>
      <w:r>
        <w:rPr>
          <w:rStyle w:val="apple-converted-space"/>
          <w:rFonts w:ascii="Roboto" w:hAnsi="Roboto"/>
          <w:color w:val="212121"/>
          <w:sz w:val="23"/>
          <w:szCs w:val="23"/>
        </w:rPr>
        <w:t> </w:t>
      </w:r>
      <w:r>
        <w:rPr>
          <w:rFonts w:ascii="Roboto" w:hAnsi="Roboto"/>
          <w:color w:val="212121"/>
          <w:sz w:val="23"/>
          <w:szCs w:val="23"/>
        </w:rPr>
        <w:t>will also affect the INR.</w:t>
      </w:r>
      <w:r>
        <w:rPr>
          <w:rStyle w:val="apple-converted-space"/>
          <w:rFonts w:ascii="Roboto" w:hAnsi="Roboto"/>
          <w:color w:val="212121"/>
          <w:sz w:val="23"/>
          <w:szCs w:val="23"/>
        </w:rPr>
        <w:t> </w:t>
      </w:r>
    </w:p>
    <w:p w14:paraId="57065262" w14:textId="061F1033" w:rsidR="00751F1E" w:rsidRPr="00772B1E" w:rsidRDefault="00772B1E" w:rsidP="00772B1E">
      <w:pPr>
        <w:pStyle w:val="bodytext"/>
        <w:shd w:val="clear" w:color="auto" w:fill="EEEEEE"/>
        <w:spacing w:before="0" w:beforeAutospacing="0" w:after="255" w:afterAutospacing="0"/>
        <w:ind w:left="750" w:right="225"/>
        <w:divId w:val="493956830"/>
        <w:rPr>
          <w:rFonts w:ascii="Roboto" w:hAnsi="Roboto"/>
          <w:color w:val="212121"/>
          <w:sz w:val="23"/>
          <w:szCs w:val="23"/>
        </w:rPr>
      </w:pPr>
      <w:r>
        <w:rPr>
          <w:rFonts w:ascii="Roboto" w:hAnsi="Roboto"/>
          <w:color w:val="212121"/>
          <w:sz w:val="23"/>
          <w:szCs w:val="23"/>
        </w:rPr>
        <w:lastRenderedPageBreak/>
        <w:t xml:space="preserve">Drugs with a long half-life (e.g. </w:t>
      </w:r>
      <w:proofErr w:type="spellStart"/>
      <w:r>
        <w:rPr>
          <w:rFonts w:ascii="Roboto" w:hAnsi="Roboto"/>
          <w:color w:val="212121"/>
          <w:sz w:val="23"/>
          <w:szCs w:val="23"/>
        </w:rPr>
        <w:t>amiodarone</w:t>
      </w:r>
      <w:proofErr w:type="spellEnd"/>
      <w:r>
        <w:rPr>
          <w:rFonts w:ascii="Roboto" w:hAnsi="Roboto"/>
          <w:color w:val="212121"/>
          <w:sz w:val="23"/>
          <w:szCs w:val="23"/>
        </w:rPr>
        <w:t>) will need a longer period of more frequent</w:t>
      </w:r>
      <w:r>
        <w:rPr>
          <w:rStyle w:val="apple-converted-space"/>
          <w:rFonts w:ascii="Roboto" w:hAnsi="Roboto"/>
          <w:color w:val="212121"/>
          <w:sz w:val="23"/>
          <w:szCs w:val="23"/>
        </w:rPr>
        <w:t> </w:t>
      </w:r>
      <w:r>
        <w:rPr>
          <w:rFonts w:ascii="Roboto" w:hAnsi="Roboto"/>
          <w:color w:val="212121"/>
          <w:sz w:val="23"/>
          <w:szCs w:val="23"/>
        </w:rPr>
        <w:t>monitoring.</w:t>
      </w:r>
    </w:p>
    <w:p w14:paraId="6B506672" w14:textId="0677160F" w:rsidR="00751F1E" w:rsidRDefault="00751F1E" w:rsidP="007F14B6">
      <w:pPr>
        <w:rPr>
          <w:color w:val="FF0000"/>
          <w:lang w:val="en-AU"/>
        </w:rPr>
      </w:pPr>
    </w:p>
    <w:p w14:paraId="2195EDA1" w14:textId="6565ADFB" w:rsidR="00751F1E" w:rsidRDefault="00751F1E" w:rsidP="007F14B6">
      <w:pPr>
        <w:rPr>
          <w:color w:val="FF0000"/>
          <w:lang w:val="en-AU"/>
        </w:rPr>
      </w:pPr>
      <w:r>
        <w:rPr>
          <w:color w:val="FF0000"/>
          <w:lang w:val="en-AU"/>
        </w:rPr>
        <w:t>6</w:t>
      </w:r>
    </w:p>
    <w:p w14:paraId="08D050B3" w14:textId="3AB4A6B0" w:rsidR="00772B1E" w:rsidRDefault="00772B1E" w:rsidP="007F14B6">
      <w:pPr>
        <w:rPr>
          <w:color w:val="FF0000"/>
          <w:lang w:val="en-AU"/>
        </w:rPr>
      </w:pPr>
    </w:p>
    <w:p w14:paraId="0C303FA1" w14:textId="77777777" w:rsidR="007F1787" w:rsidRPr="007F1787" w:rsidRDefault="007F1787" w:rsidP="007F1787">
      <w:pPr>
        <w:divId w:val="462772429"/>
        <w:rPr>
          <w:rFonts w:ascii="Times New Roman" w:eastAsia="Times New Roman" w:hAnsi="Times New Roman" w:cs="Times New Roman"/>
          <w:sz w:val="24"/>
          <w:szCs w:val="24"/>
        </w:rPr>
      </w:pPr>
      <w:r w:rsidRPr="007F1787">
        <w:rPr>
          <w:rFonts w:ascii="Times New Roman" w:eastAsia="Times New Roman" w:hAnsi="Times New Roman" w:cs="Times New Roman"/>
          <w:sz w:val="24"/>
          <w:szCs w:val="24"/>
        </w:rPr>
        <w:t>For </w:t>
      </w:r>
      <w:r w:rsidRPr="007F17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B939DF" wp14:editId="1FEDE147">
            <wp:extent cx="304800" cy="1162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1723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787">
        <w:rPr>
          <w:rFonts w:ascii="Times New Roman" w:eastAsia="Times New Roman" w:hAnsi="Times New Roman" w:cs="Times New Roman"/>
          <w:sz w:val="24"/>
          <w:szCs w:val="24"/>
        </w:rPr>
        <w:t>point-of-care INR testing by community pharmacies, request </w:t>
      </w:r>
      <w:hyperlink r:id="rId10" w:tgtFrame="_self" w:tooltip="Warfarin Monitoring Requests" w:history="1">
        <w:r w:rsidRPr="007F1787">
          <w:rPr>
            <w:rFonts w:ascii="Times New Roman" w:eastAsia="Times New Roman" w:hAnsi="Times New Roman" w:cs="Times New Roman"/>
            <w:color w:val="398ECC"/>
            <w:sz w:val="24"/>
            <w:szCs w:val="24"/>
          </w:rPr>
          <w:t>warfarin monitoring</w:t>
        </w:r>
      </w:hyperlink>
      <w:r w:rsidRPr="007F17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6B889A" w14:textId="5A12C457" w:rsidR="00772B1E" w:rsidRDefault="00772B1E" w:rsidP="007F14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031F64" w14:textId="6BB59687" w:rsidR="001E0ED3" w:rsidRDefault="0022153D" w:rsidP="007F14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Roboto" w:eastAsia="Times New Roman" w:hAnsi="Roboto"/>
          <w:b/>
          <w:bCs/>
          <w:color w:val="212121"/>
          <w:sz w:val="23"/>
          <w:szCs w:val="23"/>
          <w:shd w:val="clear" w:color="auto" w:fill="EEEEEE"/>
        </w:rPr>
        <w:t>Point-of-care INR testing</w:t>
      </w:r>
    </w:p>
    <w:p w14:paraId="46C6F7CB" w14:textId="77777777" w:rsidR="001E0ED3" w:rsidRDefault="001E0ED3" w:rsidP="007F14B6">
      <w:pPr>
        <w:rPr>
          <w:color w:val="FF0000"/>
          <w:lang w:val="en-AU"/>
        </w:rPr>
      </w:pPr>
    </w:p>
    <w:p w14:paraId="11FB4121" w14:textId="77777777" w:rsidR="002D18EA" w:rsidRDefault="002D18EA">
      <w:pPr>
        <w:pStyle w:val="bodytext"/>
        <w:shd w:val="clear" w:color="auto" w:fill="EEEEEE"/>
        <w:spacing w:before="0" w:beforeAutospacing="0" w:after="255" w:afterAutospacing="0"/>
        <w:divId w:val="1820266341"/>
        <w:rPr>
          <w:rFonts w:ascii="Roboto" w:hAnsi="Roboto"/>
          <w:color w:val="212121"/>
          <w:sz w:val="23"/>
          <w:szCs w:val="23"/>
        </w:rPr>
      </w:pPr>
      <w:r>
        <w:rPr>
          <w:rFonts w:ascii="Roboto" w:hAnsi="Roboto"/>
          <w:color w:val="212121"/>
          <w:sz w:val="23"/>
          <w:szCs w:val="23"/>
        </w:rPr>
        <w:t>Doses where INR is within a specified safe range are managed by the pharmacist under a standing order, otherwise the general practitioner is contacted.</w:t>
      </w:r>
    </w:p>
    <w:p w14:paraId="6EFE4948" w14:textId="77777777" w:rsidR="002D18EA" w:rsidRDefault="002D18EA">
      <w:pPr>
        <w:pStyle w:val="bodytext"/>
        <w:shd w:val="clear" w:color="auto" w:fill="EEEEEE"/>
        <w:spacing w:before="0" w:beforeAutospacing="0" w:after="255" w:afterAutospacing="0"/>
        <w:divId w:val="1820266341"/>
        <w:rPr>
          <w:rFonts w:ascii="Roboto" w:hAnsi="Roboto"/>
          <w:color w:val="212121"/>
          <w:sz w:val="23"/>
          <w:szCs w:val="23"/>
        </w:rPr>
      </w:pPr>
      <w:r>
        <w:rPr>
          <w:rFonts w:ascii="Roboto" w:hAnsi="Roboto"/>
          <w:color w:val="212121"/>
          <w:sz w:val="23"/>
          <w:szCs w:val="23"/>
        </w:rPr>
        <w:t>If INR is greater than 4.0 using point-of-care testing (</w:t>
      </w:r>
      <w:proofErr w:type="spellStart"/>
      <w:r>
        <w:rPr>
          <w:rFonts w:ascii="Roboto" w:hAnsi="Roboto"/>
          <w:color w:val="212121"/>
          <w:sz w:val="23"/>
          <w:szCs w:val="23"/>
        </w:rPr>
        <w:t>CoaguChek</w:t>
      </w:r>
      <w:proofErr w:type="spellEnd"/>
      <w:r>
        <w:rPr>
          <w:rFonts w:ascii="Roboto" w:hAnsi="Roboto"/>
          <w:color w:val="212121"/>
          <w:sz w:val="23"/>
          <w:szCs w:val="23"/>
        </w:rPr>
        <w:t>), the result should be confirmed on a laboratory venous sample as the accuracy of point-of-care testing devices is reduced at higher INR levels.</w:t>
      </w:r>
    </w:p>
    <w:p w14:paraId="71FF9FEA" w14:textId="4F326C2A" w:rsidR="00772B1E" w:rsidRPr="002D18EA" w:rsidRDefault="002D18EA" w:rsidP="002D18EA">
      <w:pPr>
        <w:pStyle w:val="bodytext"/>
        <w:shd w:val="clear" w:color="auto" w:fill="EEEEEE"/>
        <w:spacing w:before="0" w:beforeAutospacing="0" w:after="255" w:afterAutospacing="0"/>
        <w:divId w:val="1820266341"/>
        <w:rPr>
          <w:rFonts w:ascii="Roboto" w:hAnsi="Roboto"/>
          <w:color w:val="212121"/>
          <w:sz w:val="23"/>
          <w:szCs w:val="23"/>
        </w:rPr>
      </w:pPr>
      <w:r>
        <w:rPr>
          <w:rFonts w:ascii="Roboto" w:hAnsi="Roboto"/>
          <w:color w:val="212121"/>
          <w:sz w:val="23"/>
          <w:szCs w:val="23"/>
        </w:rPr>
        <w:t>If not already in place, a standing order also needs to be signed by the general practice, naming the pharmacy.</w:t>
      </w:r>
    </w:p>
    <w:p w14:paraId="78087A4B" w14:textId="78488C26" w:rsidR="00772B1E" w:rsidRDefault="00772B1E" w:rsidP="007F14B6">
      <w:pPr>
        <w:rPr>
          <w:color w:val="FF0000"/>
          <w:lang w:val="en-AU"/>
        </w:rPr>
      </w:pPr>
    </w:p>
    <w:p w14:paraId="12358638" w14:textId="367EF99C" w:rsidR="00772B1E" w:rsidRDefault="00772B1E" w:rsidP="007F14B6">
      <w:pPr>
        <w:rPr>
          <w:color w:val="FF0000"/>
          <w:lang w:val="en-AU"/>
        </w:rPr>
      </w:pPr>
      <w:r>
        <w:rPr>
          <w:color w:val="FF0000"/>
          <w:lang w:val="en-AU"/>
        </w:rPr>
        <w:t>7</w:t>
      </w:r>
    </w:p>
    <w:p w14:paraId="403A9C7B" w14:textId="2391E71D" w:rsidR="00622A08" w:rsidRDefault="00622A08" w:rsidP="007F14B6">
      <w:pPr>
        <w:rPr>
          <w:color w:val="FF0000"/>
          <w:lang w:val="en-AU"/>
        </w:rPr>
      </w:pPr>
    </w:p>
    <w:p w14:paraId="3AA2CB99" w14:textId="77777777" w:rsidR="00622A08" w:rsidRDefault="00622A08" w:rsidP="00622A08">
      <w:pPr>
        <w:pStyle w:val="listnumber"/>
        <w:numPr>
          <w:ilvl w:val="0"/>
          <w:numId w:val="12"/>
        </w:numPr>
        <w:shd w:val="clear" w:color="auto" w:fill="EEEEEE"/>
        <w:spacing w:before="0" w:beforeAutospacing="0" w:after="180" w:afterAutospacing="0"/>
        <w:ind w:left="750"/>
        <w:divId w:val="1385062982"/>
        <w:rPr>
          <w:rFonts w:ascii="Roboto" w:eastAsia="Times New Roman" w:hAnsi="Roboto"/>
          <w:color w:val="212121"/>
          <w:sz w:val="23"/>
          <w:szCs w:val="23"/>
        </w:rPr>
      </w:pPr>
      <w:r>
        <w:rPr>
          <w:rFonts w:ascii="Roboto" w:eastAsia="Times New Roman" w:hAnsi="Roboto"/>
          <w:color w:val="212121"/>
          <w:sz w:val="23"/>
          <w:szCs w:val="23"/>
        </w:rPr>
        <w:t>If the patient is planning to have:</w:t>
      </w:r>
    </w:p>
    <w:p w14:paraId="1269879F" w14:textId="77777777" w:rsidR="00622A08" w:rsidRDefault="00622A08" w:rsidP="00622A08">
      <w:pPr>
        <w:pStyle w:val="listbullet2"/>
        <w:numPr>
          <w:ilvl w:val="1"/>
          <w:numId w:val="12"/>
        </w:numPr>
        <w:shd w:val="clear" w:color="auto" w:fill="EEEEEE"/>
        <w:spacing w:before="0" w:beforeAutospacing="0" w:after="180" w:afterAutospacing="0"/>
        <w:ind w:left="1470"/>
        <w:divId w:val="1385062982"/>
        <w:rPr>
          <w:rFonts w:ascii="Roboto" w:eastAsia="Times New Roman" w:hAnsi="Roboto"/>
          <w:color w:val="212121"/>
          <w:sz w:val="23"/>
          <w:szCs w:val="23"/>
        </w:rPr>
      </w:pPr>
      <w:r>
        <w:rPr>
          <w:rFonts w:ascii="Roboto" w:eastAsia="Times New Roman" w:hAnsi="Roboto"/>
          <w:color w:val="212121"/>
          <w:sz w:val="23"/>
          <w:szCs w:val="23"/>
        </w:rPr>
        <w:t>major surgery, spinal or epidural anaesthesia, or clinical or minor procedure, see</w:t>
      </w:r>
      <w:r>
        <w:rPr>
          <w:rStyle w:val="apple-converted-space"/>
          <w:rFonts w:ascii="Roboto" w:eastAsia="Times New Roman" w:hAnsi="Roboto"/>
          <w:color w:val="212121"/>
          <w:sz w:val="23"/>
          <w:szCs w:val="23"/>
        </w:rPr>
        <w:t> </w:t>
      </w:r>
      <w:hyperlink r:id="rId11" w:tgtFrame="_self" w:tooltip="Peri-procedural Management of Warfarin, DOACs, and Antiplatelets" w:history="1">
        <w:r>
          <w:rPr>
            <w:rStyle w:val="Hyperlink"/>
            <w:rFonts w:ascii="Roboto" w:eastAsia="Times New Roman" w:hAnsi="Roboto"/>
            <w:color w:val="398ECC"/>
            <w:sz w:val="23"/>
            <w:szCs w:val="23"/>
          </w:rPr>
          <w:t>Peri-procedural Management of</w:t>
        </w:r>
        <w:r>
          <w:rPr>
            <w:rStyle w:val="apple-converted-space"/>
            <w:rFonts w:ascii="Roboto" w:eastAsia="Times New Roman" w:hAnsi="Roboto"/>
            <w:color w:val="398ECC"/>
            <w:sz w:val="23"/>
            <w:szCs w:val="23"/>
          </w:rPr>
          <w:t> </w:t>
        </w:r>
        <w:r>
          <w:rPr>
            <w:rStyle w:val="Hyperlink"/>
            <w:rFonts w:ascii="Roboto" w:eastAsia="Times New Roman" w:hAnsi="Roboto"/>
            <w:color w:val="398ECC"/>
            <w:sz w:val="23"/>
            <w:szCs w:val="23"/>
          </w:rPr>
          <w:t>Warfarin, NOACs,</w:t>
        </w:r>
        <w:r>
          <w:rPr>
            <w:rStyle w:val="apple-converted-space"/>
            <w:rFonts w:ascii="Roboto" w:eastAsia="Times New Roman" w:hAnsi="Roboto"/>
            <w:color w:val="398ECC"/>
            <w:sz w:val="23"/>
            <w:szCs w:val="23"/>
          </w:rPr>
          <w:t> </w:t>
        </w:r>
        <w:r>
          <w:rPr>
            <w:rStyle w:val="Hyperlink"/>
            <w:rFonts w:ascii="Roboto" w:eastAsia="Times New Roman" w:hAnsi="Roboto"/>
            <w:color w:val="398ECC"/>
            <w:sz w:val="23"/>
            <w:szCs w:val="23"/>
          </w:rPr>
          <w:t>and</w:t>
        </w:r>
        <w:r>
          <w:rPr>
            <w:rStyle w:val="apple-converted-space"/>
            <w:rFonts w:ascii="Roboto" w:eastAsia="Times New Roman" w:hAnsi="Roboto"/>
            <w:color w:val="398ECC"/>
            <w:sz w:val="23"/>
            <w:szCs w:val="23"/>
          </w:rPr>
          <w:t> </w:t>
        </w:r>
        <w:proofErr w:type="spellStart"/>
        <w:r>
          <w:rPr>
            <w:rStyle w:val="Hyperlink"/>
            <w:rFonts w:ascii="Roboto" w:eastAsia="Times New Roman" w:hAnsi="Roboto"/>
            <w:color w:val="398ECC"/>
            <w:sz w:val="23"/>
            <w:szCs w:val="23"/>
          </w:rPr>
          <w:t>Antiplatelets</w:t>
        </w:r>
        <w:proofErr w:type="spellEnd"/>
      </w:hyperlink>
      <w:r>
        <w:rPr>
          <w:rFonts w:ascii="Roboto" w:eastAsia="Times New Roman" w:hAnsi="Roboto"/>
          <w:color w:val="212121"/>
          <w:sz w:val="23"/>
          <w:szCs w:val="23"/>
        </w:rPr>
        <w:t>.</w:t>
      </w:r>
    </w:p>
    <w:p w14:paraId="7584ACD6" w14:textId="77777777" w:rsidR="00622A08" w:rsidRDefault="00622A08" w:rsidP="00622A08">
      <w:pPr>
        <w:pStyle w:val="listbullet2"/>
        <w:numPr>
          <w:ilvl w:val="1"/>
          <w:numId w:val="12"/>
        </w:numPr>
        <w:shd w:val="clear" w:color="auto" w:fill="EEEEEE"/>
        <w:spacing w:before="0" w:beforeAutospacing="0" w:after="180" w:afterAutospacing="0"/>
        <w:ind w:left="1470"/>
        <w:divId w:val="1385062982"/>
        <w:rPr>
          <w:rFonts w:ascii="Roboto" w:eastAsia="Times New Roman" w:hAnsi="Roboto"/>
          <w:color w:val="212121"/>
          <w:sz w:val="23"/>
          <w:szCs w:val="23"/>
        </w:rPr>
      </w:pPr>
      <w:r>
        <w:rPr>
          <w:rFonts w:ascii="Roboto" w:eastAsia="Times New Roman" w:hAnsi="Roboto"/>
          <w:color w:val="212121"/>
          <w:sz w:val="23"/>
          <w:szCs w:val="23"/>
        </w:rPr>
        <w:t>dental procedure (e.g., scaling, fillings, or minor oral surgery), see</w:t>
      </w:r>
      <w:r>
        <w:rPr>
          <w:rStyle w:val="apple-converted-space"/>
          <w:rFonts w:ascii="Roboto" w:eastAsia="Times New Roman" w:hAnsi="Roboto"/>
          <w:color w:val="212121"/>
          <w:sz w:val="23"/>
          <w:szCs w:val="23"/>
        </w:rPr>
        <w:t> </w:t>
      </w:r>
      <w:hyperlink r:id="rId12" w:tgtFrame="_self" w:tooltip="Warfarin - Dental Extractions" w:history="1">
        <w:r>
          <w:rPr>
            <w:rStyle w:val="Hyperlink"/>
            <w:rFonts w:ascii="Roboto" w:eastAsia="Times New Roman" w:hAnsi="Roboto"/>
            <w:color w:val="398ECC"/>
            <w:sz w:val="23"/>
            <w:szCs w:val="23"/>
          </w:rPr>
          <w:t>Warfarin</w:t>
        </w:r>
        <w:r>
          <w:rPr>
            <w:rStyle w:val="apple-converted-space"/>
            <w:rFonts w:ascii="Roboto" w:eastAsia="Times New Roman" w:hAnsi="Roboto"/>
            <w:color w:val="398ECC"/>
            <w:sz w:val="23"/>
            <w:szCs w:val="23"/>
          </w:rPr>
          <w:t> </w:t>
        </w:r>
        <w:r>
          <w:rPr>
            <w:rStyle w:val="Hyperlink"/>
            <w:rFonts w:ascii="Roboto" w:eastAsia="Times New Roman" w:hAnsi="Roboto"/>
            <w:color w:val="398ECC"/>
            <w:sz w:val="23"/>
            <w:szCs w:val="23"/>
          </w:rPr>
          <w:t>-</w:t>
        </w:r>
        <w:r>
          <w:rPr>
            <w:rStyle w:val="apple-converted-space"/>
            <w:rFonts w:ascii="Roboto" w:eastAsia="Times New Roman" w:hAnsi="Roboto"/>
            <w:color w:val="398ECC"/>
            <w:sz w:val="23"/>
            <w:szCs w:val="23"/>
          </w:rPr>
          <w:t> </w:t>
        </w:r>
        <w:r>
          <w:rPr>
            <w:rStyle w:val="Hyperlink"/>
            <w:rFonts w:ascii="Roboto" w:eastAsia="Times New Roman" w:hAnsi="Roboto"/>
            <w:color w:val="398ECC"/>
            <w:sz w:val="23"/>
            <w:szCs w:val="23"/>
          </w:rPr>
          <w:t>Dental Extractions</w:t>
        </w:r>
      </w:hyperlink>
      <w:r>
        <w:rPr>
          <w:rFonts w:ascii="Roboto" w:eastAsia="Times New Roman" w:hAnsi="Roboto"/>
          <w:color w:val="212121"/>
          <w:sz w:val="23"/>
          <w:szCs w:val="23"/>
        </w:rPr>
        <w:t>.</w:t>
      </w:r>
    </w:p>
    <w:p w14:paraId="2F5C0181" w14:textId="77B26DA7" w:rsidR="00622A08" w:rsidRDefault="00622A08" w:rsidP="007F14B6">
      <w:pPr>
        <w:rPr>
          <w:color w:val="FF0000"/>
          <w:lang w:val="en-AU"/>
        </w:rPr>
      </w:pPr>
    </w:p>
    <w:p w14:paraId="13259DED" w14:textId="2528431F" w:rsidR="00622A08" w:rsidRDefault="00622A08" w:rsidP="007F14B6">
      <w:pPr>
        <w:rPr>
          <w:color w:val="FF0000"/>
          <w:lang w:val="en-AU"/>
        </w:rPr>
      </w:pPr>
    </w:p>
    <w:p w14:paraId="14A3D4AE" w14:textId="6C22D792" w:rsidR="00622A08" w:rsidRDefault="00622A08" w:rsidP="007F14B6">
      <w:pPr>
        <w:rPr>
          <w:color w:val="FF0000"/>
          <w:lang w:val="en-AU"/>
        </w:rPr>
      </w:pPr>
    </w:p>
    <w:p w14:paraId="0FB4FD5E" w14:textId="2D68C668" w:rsidR="00622A08" w:rsidRDefault="00622A08" w:rsidP="007F14B6">
      <w:pPr>
        <w:rPr>
          <w:color w:val="FF0000"/>
          <w:lang w:val="en-AU"/>
        </w:rPr>
      </w:pPr>
    </w:p>
    <w:p w14:paraId="279053A8" w14:textId="66E61FA2" w:rsidR="00622A08" w:rsidRDefault="00622A08" w:rsidP="007F14B6">
      <w:pPr>
        <w:rPr>
          <w:color w:val="FF0000"/>
          <w:lang w:val="en-AU"/>
        </w:rPr>
      </w:pPr>
    </w:p>
    <w:p w14:paraId="25586E42" w14:textId="4C8A9CBD" w:rsidR="00622A08" w:rsidRDefault="00622A08" w:rsidP="007F14B6">
      <w:pPr>
        <w:rPr>
          <w:color w:val="FF0000"/>
          <w:lang w:val="en-AU"/>
        </w:rPr>
      </w:pPr>
    </w:p>
    <w:p w14:paraId="7CABD26D" w14:textId="66B4A2A5" w:rsidR="00622A08" w:rsidRDefault="00622A08" w:rsidP="007F14B6">
      <w:pPr>
        <w:rPr>
          <w:color w:val="FF0000"/>
          <w:lang w:val="en-AU"/>
        </w:rPr>
      </w:pPr>
    </w:p>
    <w:p w14:paraId="3AD0884E" w14:textId="77777777" w:rsidR="00622A08" w:rsidRDefault="00622A08" w:rsidP="007F14B6">
      <w:pPr>
        <w:rPr>
          <w:color w:val="FF0000"/>
          <w:lang w:val="en-AU"/>
        </w:rPr>
      </w:pPr>
    </w:p>
    <w:sectPr w:rsidR="00622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E3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35B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22687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1F16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35199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A2065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1F4C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2355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9D43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191ED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E9389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09321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8872353">
    <w:abstractNumId w:val="6"/>
  </w:num>
  <w:num w:numId="2" w16cid:durableId="1514764946">
    <w:abstractNumId w:val="10"/>
  </w:num>
  <w:num w:numId="3" w16cid:durableId="2137407872">
    <w:abstractNumId w:val="4"/>
  </w:num>
  <w:num w:numId="4" w16cid:durableId="285505163">
    <w:abstractNumId w:val="9"/>
  </w:num>
  <w:num w:numId="5" w16cid:durableId="196817503">
    <w:abstractNumId w:val="1"/>
  </w:num>
  <w:num w:numId="6" w16cid:durableId="455102625">
    <w:abstractNumId w:val="3"/>
  </w:num>
  <w:num w:numId="7" w16cid:durableId="1330058307">
    <w:abstractNumId w:val="0"/>
  </w:num>
  <w:num w:numId="8" w16cid:durableId="1668288223">
    <w:abstractNumId w:val="2"/>
  </w:num>
  <w:num w:numId="9" w16cid:durableId="1741437062">
    <w:abstractNumId w:val="5"/>
  </w:num>
  <w:num w:numId="10" w16cid:durableId="1437016962">
    <w:abstractNumId w:val="7"/>
  </w:num>
  <w:num w:numId="11" w16cid:durableId="102187681">
    <w:abstractNumId w:val="8"/>
  </w:num>
  <w:num w:numId="12" w16cid:durableId="468519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91"/>
    <w:rsid w:val="000E140D"/>
    <w:rsid w:val="001E0ED3"/>
    <w:rsid w:val="0022153D"/>
    <w:rsid w:val="002D18EA"/>
    <w:rsid w:val="002F7AE6"/>
    <w:rsid w:val="00377324"/>
    <w:rsid w:val="004A737B"/>
    <w:rsid w:val="00622A08"/>
    <w:rsid w:val="006617D2"/>
    <w:rsid w:val="00707D90"/>
    <w:rsid w:val="00751954"/>
    <w:rsid w:val="00751F1E"/>
    <w:rsid w:val="00772B1E"/>
    <w:rsid w:val="00791877"/>
    <w:rsid w:val="007E2DE2"/>
    <w:rsid w:val="007F1787"/>
    <w:rsid w:val="007F6BB9"/>
    <w:rsid w:val="00951319"/>
    <w:rsid w:val="0097675A"/>
    <w:rsid w:val="009F1986"/>
    <w:rsid w:val="00A426D2"/>
    <w:rsid w:val="00A83B19"/>
    <w:rsid w:val="00A95FD7"/>
    <w:rsid w:val="00AA7891"/>
    <w:rsid w:val="00C8223A"/>
    <w:rsid w:val="00D2115F"/>
    <w:rsid w:val="00D26210"/>
    <w:rsid w:val="00D353D3"/>
    <w:rsid w:val="00DB00AF"/>
    <w:rsid w:val="00E6728E"/>
    <w:rsid w:val="00E92883"/>
    <w:rsid w:val="00EA66F8"/>
    <w:rsid w:val="00ED5483"/>
    <w:rsid w:val="00EF6237"/>
    <w:rsid w:val="00F4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C3507"/>
  <w15:chartTrackingRefBased/>
  <w15:docId w15:val="{F2137527-AD99-1B41-AF2D-E9A629CD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2883"/>
  </w:style>
  <w:style w:type="paragraph" w:customStyle="1" w:styleId="bodytextbold">
    <w:name w:val="bodytextbold"/>
    <w:basedOn w:val="Normal"/>
    <w:rsid w:val="00E9288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odytext">
    <w:name w:val="bodytext"/>
    <w:basedOn w:val="Normal"/>
    <w:rsid w:val="00E9288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istbullet">
    <w:name w:val="listbullet"/>
    <w:basedOn w:val="Normal"/>
    <w:rsid w:val="00E9288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ableheadingsmall">
    <w:name w:val="tableheadingsmall"/>
    <w:basedOn w:val="Normal"/>
    <w:rsid w:val="009767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ablebodytext">
    <w:name w:val="tablebodytext"/>
    <w:basedOn w:val="Normal"/>
    <w:rsid w:val="009767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ablebodytextcentre">
    <w:name w:val="tablebodytextcentre"/>
    <w:basedOn w:val="Normal"/>
    <w:rsid w:val="009767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ablelistbullet">
    <w:name w:val="tablelistbullet"/>
    <w:basedOn w:val="Normal"/>
    <w:rsid w:val="009767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ablelistbullet2">
    <w:name w:val="tablelistbullet2"/>
    <w:basedOn w:val="Normal"/>
    <w:rsid w:val="009767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632C"/>
    <w:rPr>
      <w:color w:val="0000FF"/>
      <w:u w:val="single"/>
    </w:rPr>
  </w:style>
  <w:style w:type="paragraph" w:customStyle="1" w:styleId="listnumber">
    <w:name w:val="listnumber"/>
    <w:basedOn w:val="Normal"/>
    <w:rsid w:val="000E140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listbullet2">
    <w:name w:val="listbullet2"/>
    <w:basedOn w:val="Normal"/>
    <w:rsid w:val="002F7A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ableheading">
    <w:name w:val="tableheading"/>
    <w:basedOn w:val="Normal"/>
    <w:rsid w:val="0095131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1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193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0620">
                      <w:marLeft w:val="0"/>
                      <w:marRight w:val="225"/>
                      <w:marTop w:val="225"/>
                      <w:marBottom w:val="225"/>
                      <w:divBdr>
                        <w:top w:val="single" w:sz="6" w:space="14" w:color="F1F1F1"/>
                        <w:left w:val="single" w:sz="18" w:space="14" w:color="656565"/>
                        <w:bottom w:val="single" w:sz="6" w:space="14" w:color="F1F1F1"/>
                        <w:right w:val="single" w:sz="6" w:space="14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869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6753">
          <w:marLeft w:val="0"/>
          <w:marRight w:val="225"/>
          <w:marTop w:val="225"/>
          <w:marBottom w:val="225"/>
          <w:divBdr>
            <w:top w:val="single" w:sz="6" w:space="14" w:color="F1F1F1"/>
            <w:left w:val="single" w:sz="18" w:space="14" w:color="656565"/>
            <w:bottom w:val="single" w:sz="6" w:space="14" w:color="F1F1F1"/>
            <w:right w:val="single" w:sz="6" w:space="14" w:color="F1F1F1"/>
          </w:divBdr>
        </w:div>
      </w:divsChild>
    </w:div>
    <w:div w:id="247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30">
          <w:marLeft w:val="0"/>
          <w:marRight w:val="225"/>
          <w:marTop w:val="225"/>
          <w:marBottom w:val="225"/>
          <w:divBdr>
            <w:top w:val="single" w:sz="6" w:space="14" w:color="F1F1F1"/>
            <w:left w:val="single" w:sz="18" w:space="14" w:color="656565"/>
            <w:bottom w:val="single" w:sz="6" w:space="14" w:color="F1F1F1"/>
            <w:right w:val="single" w:sz="6" w:space="14" w:color="F1F1F1"/>
          </w:divBdr>
        </w:div>
      </w:divsChild>
    </w:div>
    <w:div w:id="462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96">
          <w:marLeft w:val="0"/>
          <w:marRight w:val="225"/>
          <w:marTop w:val="225"/>
          <w:marBottom w:val="225"/>
          <w:divBdr>
            <w:top w:val="single" w:sz="6" w:space="14" w:color="F1F1F1"/>
            <w:left w:val="single" w:sz="18" w:space="14" w:color="656565"/>
            <w:bottom w:val="single" w:sz="6" w:space="14" w:color="F1F1F1"/>
            <w:right w:val="single" w:sz="6" w:space="14" w:color="F1F1F1"/>
          </w:divBdr>
        </w:div>
      </w:divsChild>
    </w:div>
    <w:div w:id="481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222">
          <w:marLeft w:val="0"/>
          <w:marRight w:val="225"/>
          <w:marTop w:val="225"/>
          <w:marBottom w:val="225"/>
          <w:divBdr>
            <w:top w:val="single" w:sz="6" w:space="14" w:color="F1F1F1"/>
            <w:left w:val="single" w:sz="18" w:space="14" w:color="656565"/>
            <w:bottom w:val="single" w:sz="6" w:space="14" w:color="F1F1F1"/>
            <w:right w:val="single" w:sz="6" w:space="14" w:color="F1F1F1"/>
          </w:divBdr>
        </w:div>
      </w:divsChild>
    </w:div>
    <w:div w:id="17011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2200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4522">
                      <w:marLeft w:val="0"/>
                      <w:marRight w:val="225"/>
                      <w:marTop w:val="225"/>
                      <w:marBottom w:val="225"/>
                      <w:divBdr>
                        <w:top w:val="single" w:sz="6" w:space="14" w:color="F1F1F1"/>
                        <w:left w:val="single" w:sz="18" w:space="14" w:color="656565"/>
                        <w:bottom w:val="single" w:sz="6" w:space="14" w:color="F1F1F1"/>
                        <w:right w:val="single" w:sz="6" w:space="14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820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cklandregion.communityhealthpathways.org/30312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stpractice.net.nz/feat_mod_INR.php" TargetMode="External"/><Relationship Id="rId12" Type="http://schemas.openxmlformats.org/officeDocument/2006/relationships/hyperlink" Target="https://aucklandregion.communityhealthpathways.org/2728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cklandregion.communityhealthpathways.org/99996.htm" TargetMode="External"/><Relationship Id="rId11" Type="http://schemas.openxmlformats.org/officeDocument/2006/relationships/hyperlink" Target="https://aucklandregion.communityhealthpathways.org/40619.htm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aucklandregion.communityhealthpathways.org/19150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cklandregion.communityhealthpathways.org/30312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Gabriel</dc:creator>
  <cp:keywords/>
  <dc:description/>
  <cp:lastModifiedBy>Kevin Gabriel</cp:lastModifiedBy>
  <cp:revision>2</cp:revision>
  <dcterms:created xsi:type="dcterms:W3CDTF">2023-03-05T00:19:00Z</dcterms:created>
  <dcterms:modified xsi:type="dcterms:W3CDTF">2023-03-05T00:19:00Z</dcterms:modified>
</cp:coreProperties>
</file>